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76DE858"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w:t>
            </w:r>
            <w:r w:rsidR="00547716">
              <w:rPr>
                <w:rFonts w:ascii="Arial" w:hAnsi="Arial" w:cs="Arial"/>
                <w:color w:val="000000" w:themeColor="text1"/>
                <w:sz w:val="18"/>
                <w:szCs w:val="18"/>
              </w:rPr>
              <w:t>X</w:t>
            </w:r>
            <w:r w:rsidRPr="00414E0D">
              <w:rPr>
                <w:rFonts w:ascii="Arial" w:hAnsi="Arial" w:cs="Arial"/>
                <w:color w:val="000000" w:themeColor="text1"/>
                <w:sz w:val="18"/>
                <w:szCs w:val="18"/>
              </w:rPr>
              <w:t>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547716">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547716">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547716">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59E74BA4"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B1348C">
              <w:rPr>
                <w:rFonts w:ascii="Arial" w:hAnsi="Arial" w:cs="Arial"/>
                <w:b/>
                <w:color w:val="000000" w:themeColor="text1"/>
                <w:sz w:val="18"/>
                <w:szCs w:val="18"/>
              </w:rPr>
              <w:t>307-301</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547716">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547716">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CA5612"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CA5612" w:rsidRPr="00414E0D" w:rsidRDefault="00CA5612" w:rsidP="00CA5612">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1C326E4C"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Utah Department of Environmental Quality</w:t>
            </w:r>
          </w:p>
        </w:tc>
      </w:tr>
      <w:tr w:rsidR="00CA5612"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55BE2A3B"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Utah Division of Air Quality</w:t>
            </w:r>
          </w:p>
        </w:tc>
      </w:tr>
      <w:tr w:rsidR="00CA5612"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CA5612" w:rsidRPr="00414E0D" w:rsidRDefault="00CA5612" w:rsidP="00CA5612">
            <w:pPr>
              <w:rPr>
                <w:rFonts w:ascii="Arial" w:hAnsi="Arial" w:cs="Arial"/>
                <w:color w:val="000000" w:themeColor="text1"/>
                <w:sz w:val="18"/>
                <w:szCs w:val="18"/>
              </w:rPr>
            </w:pPr>
          </w:p>
        </w:tc>
      </w:tr>
      <w:tr w:rsidR="00CA5612"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B67045A"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CA5612"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A1EF89E"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CA5612"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51348C0E"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CA5612"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67EDD9F0"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P.O. Box 144820</w:t>
            </w:r>
          </w:p>
        </w:tc>
      </w:tr>
      <w:tr w:rsidR="00CA5612"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CA5612" w:rsidRPr="00414E0D" w:rsidRDefault="00CA5612" w:rsidP="00CA5612">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2ACEB8C3" w:rsidR="00CA5612" w:rsidRPr="00414E0D" w:rsidRDefault="00CA5612" w:rsidP="00CA5612">
            <w:pPr>
              <w:rPr>
                <w:rFonts w:ascii="Arial" w:hAnsi="Arial" w:cs="Arial"/>
                <w:color w:val="000000" w:themeColor="text1"/>
                <w:sz w:val="18"/>
                <w:szCs w:val="18"/>
              </w:rPr>
            </w:pPr>
            <w:r>
              <w:rPr>
                <w:rFonts w:ascii="Arial" w:hAnsi="Arial" w:cs="Arial"/>
                <w:color w:val="000000" w:themeColor="text1"/>
                <w:sz w:val="18"/>
                <w:szCs w:val="18"/>
              </w:rPr>
              <w:t>Salt Lake City, UT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547716">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CA5612"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632D3A86" w:rsidR="00CA5612" w:rsidRPr="00B61523" w:rsidRDefault="00CA5612" w:rsidP="00CA5612">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592B0D1B" w:rsidR="00CA5612" w:rsidRPr="00B61523" w:rsidRDefault="00CA5612" w:rsidP="00CA5612">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63A2AA42" w:rsidR="00CA5612" w:rsidRPr="00B61523" w:rsidRDefault="00CA5612" w:rsidP="00CA5612">
            <w:pPr>
              <w:rPr>
                <w:rFonts w:ascii="Arial" w:hAnsi="Arial" w:cs="Arial"/>
                <w:color w:val="000000" w:themeColor="text1"/>
                <w:sz w:val="18"/>
                <w:szCs w:val="18"/>
              </w:rPr>
            </w:pPr>
            <w:r>
              <w:rPr>
                <w:rFonts w:ascii="Arial" w:hAnsi="Arial" w:cs="Arial"/>
                <w:color w:val="000000" w:themeColor="text1"/>
                <w:sz w:val="18"/>
                <w:szCs w:val="18"/>
              </w:rPr>
              <w:t>rwood@utah.gov</w:t>
            </w:r>
          </w:p>
        </w:tc>
      </w:tr>
      <w:tr w:rsidR="00CA5612"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CA5612" w:rsidRPr="00B61523" w:rsidRDefault="00CA5612" w:rsidP="00CA5612">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CA5612" w:rsidRPr="00B61523" w:rsidRDefault="00CA5612" w:rsidP="00CA5612">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CA5612" w:rsidRPr="00B61523" w:rsidRDefault="00CA5612" w:rsidP="00CA5612">
            <w:pPr>
              <w:rPr>
                <w:rFonts w:ascii="Arial" w:hAnsi="Arial" w:cs="Arial"/>
                <w:color w:val="000000" w:themeColor="text1"/>
                <w:sz w:val="18"/>
                <w:szCs w:val="18"/>
              </w:rPr>
            </w:pPr>
          </w:p>
        </w:tc>
      </w:tr>
      <w:tr w:rsidR="00CA5612"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CA5612" w:rsidRPr="00B61523" w:rsidRDefault="00CA5612" w:rsidP="00CA5612">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CA5612" w:rsidRPr="00B61523" w:rsidRDefault="00CA5612" w:rsidP="00CA5612">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CA5612" w:rsidRPr="00B61523" w:rsidRDefault="00CA5612" w:rsidP="00CA5612">
            <w:pPr>
              <w:rPr>
                <w:rFonts w:ascii="Arial" w:hAnsi="Arial" w:cs="Arial"/>
                <w:color w:val="000000" w:themeColor="text1"/>
                <w:sz w:val="18"/>
                <w:szCs w:val="18"/>
              </w:rPr>
            </w:pPr>
          </w:p>
        </w:tc>
      </w:tr>
      <w:tr w:rsidR="00CA5612"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CA5612" w:rsidRPr="00414E0D" w:rsidRDefault="00CA5612" w:rsidP="00CA5612">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CA5612">
        <w:trPr>
          <w:tblCellSpacing w:w="7" w:type="dxa"/>
          <w:jc w:val="center"/>
        </w:trPr>
        <w:tc>
          <w:tcPr>
            <w:tcW w:w="10225"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CA5612">
        <w:trPr>
          <w:tblCellSpacing w:w="7" w:type="dxa"/>
          <w:jc w:val="center"/>
        </w:trPr>
        <w:tc>
          <w:tcPr>
            <w:tcW w:w="10225" w:type="dxa"/>
          </w:tcPr>
          <w:p w14:paraId="001FC844" w14:textId="77777777" w:rsidR="00CA5612" w:rsidRPr="00414E0D" w:rsidRDefault="00CA5612" w:rsidP="00CA5612">
            <w:pPr>
              <w:rPr>
                <w:rFonts w:ascii="Arial" w:hAnsi="Arial" w:cs="Arial"/>
                <w:color w:val="000000" w:themeColor="text1"/>
                <w:sz w:val="18"/>
                <w:szCs w:val="18"/>
              </w:rPr>
            </w:pPr>
            <w:r w:rsidRPr="00DC51B5">
              <w:rPr>
                <w:rFonts w:ascii="Arial" w:hAnsi="Arial" w:cs="Arial"/>
                <w:bCs/>
                <w:color w:val="000000" w:themeColor="text1"/>
                <w:sz w:val="18"/>
                <w:szCs w:val="18"/>
              </w:rPr>
              <w:t>R</w:t>
            </w:r>
            <w:r>
              <w:rPr>
                <w:rFonts w:ascii="Arial" w:hAnsi="Arial" w:cs="Arial"/>
                <w:bCs/>
                <w:color w:val="000000" w:themeColor="text1"/>
                <w:sz w:val="18"/>
                <w:szCs w:val="18"/>
              </w:rPr>
              <w:t>307-301. Utah and Weber Counties: Oxygenated Gasoline Program as a Contingency Measure</w:t>
            </w:r>
          </w:p>
          <w:p w14:paraId="210361A1" w14:textId="77777777" w:rsidR="005732E8" w:rsidRPr="00414E0D" w:rsidRDefault="005732E8" w:rsidP="00CA5612">
            <w:pPr>
              <w:rPr>
                <w:rFonts w:ascii="Arial" w:hAnsi="Arial" w:cs="Arial"/>
                <w:color w:val="000000" w:themeColor="text1"/>
                <w:sz w:val="18"/>
                <w:szCs w:val="18"/>
              </w:rPr>
            </w:pPr>
          </w:p>
        </w:tc>
      </w:tr>
      <w:tr w:rsidR="005732E8" w:rsidRPr="00414E0D" w14:paraId="4EA2FF8A" w14:textId="77777777" w:rsidTr="00CA5612">
        <w:trPr>
          <w:tblCellSpacing w:w="7" w:type="dxa"/>
          <w:jc w:val="center"/>
        </w:trPr>
        <w:tc>
          <w:tcPr>
            <w:tcW w:w="10225" w:type="dxa"/>
            <w:shd w:val="clear" w:color="auto" w:fill="F2F2F2" w:themeFill="background1" w:themeFillShade="F2"/>
          </w:tcPr>
          <w:p w14:paraId="3C16B824" w14:textId="5FF5EFC4"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CA5612" w:rsidRPr="00414E0D" w14:paraId="2BF386EE" w14:textId="77777777" w:rsidTr="00CA5612">
        <w:trPr>
          <w:tblCellSpacing w:w="7" w:type="dxa"/>
          <w:jc w:val="center"/>
        </w:trPr>
        <w:tc>
          <w:tcPr>
            <w:tcW w:w="10225" w:type="dxa"/>
          </w:tcPr>
          <w:p w14:paraId="2921445E" w14:textId="77777777" w:rsidR="00CA5612" w:rsidRPr="00E6486E" w:rsidRDefault="00CA5612" w:rsidP="00CA5612">
            <w:pPr>
              <w:rPr>
                <w:rFonts w:ascii="Arial" w:hAnsi="Arial" w:cs="Arial"/>
                <w:color w:val="000000"/>
                <w:sz w:val="18"/>
                <w:szCs w:val="18"/>
              </w:rPr>
            </w:pPr>
            <w:r w:rsidRPr="00E6486E">
              <w:rPr>
                <w:rFonts w:ascii="Arial" w:hAnsi="Arial" w:cs="Arial"/>
                <w:color w:val="000000"/>
                <w:sz w:val="18"/>
                <w:szCs w:val="18"/>
              </w:rPr>
              <w:t xml:space="preserve">During the required five-year review analysis, the Division of Air Quality (DAQ) staff determined that this rule is no longer necessary.  The rule was originally adopted as a contingency measure for the carbon monoxide (CO) attainment and maintenance state implementation plan (SIP) revisions for Utah and Weber counties, last approved by the Air Quality Board in 2004.  The rule requires gasoline sold in Utah and Weber Counties between November 1 and the end of February to be oxygenated with a 2.7% minimum blend of ethanol, should the area violate the standard and the contingency be triggered.  </w:t>
            </w:r>
          </w:p>
          <w:p w14:paraId="7C489992" w14:textId="77777777" w:rsidR="00CA5612" w:rsidRPr="00E6486E" w:rsidRDefault="00CA5612" w:rsidP="00CA5612">
            <w:pPr>
              <w:rPr>
                <w:rFonts w:ascii="Arial" w:hAnsi="Arial" w:cs="Arial"/>
                <w:color w:val="000000"/>
                <w:sz w:val="18"/>
                <w:szCs w:val="18"/>
              </w:rPr>
            </w:pPr>
          </w:p>
          <w:p w14:paraId="08386490" w14:textId="77777777" w:rsidR="00CA5612" w:rsidRPr="00E6486E" w:rsidRDefault="00CA5612" w:rsidP="00CA5612">
            <w:pPr>
              <w:rPr>
                <w:rFonts w:ascii="Arial" w:hAnsi="Arial" w:cs="Arial"/>
                <w:color w:val="000000"/>
                <w:sz w:val="18"/>
                <w:szCs w:val="18"/>
              </w:rPr>
            </w:pPr>
            <w:r w:rsidRPr="00E6486E">
              <w:rPr>
                <w:rFonts w:ascii="Arial" w:hAnsi="Arial" w:cs="Arial"/>
                <w:color w:val="000000"/>
                <w:sz w:val="18"/>
                <w:szCs w:val="18"/>
              </w:rPr>
              <w:t>According to the U.S. Department of Energy, more than 98% of gasoline sold in the United States today is oxygenated with</w:t>
            </w:r>
            <w:r w:rsidRPr="00E6486E">
              <w:rPr>
                <w:rFonts w:ascii="Arial" w:hAnsi="Arial" w:cs="Arial"/>
                <w:sz w:val="18"/>
                <w:szCs w:val="18"/>
              </w:rPr>
              <w:t xml:space="preserve"> a blend of 10% </w:t>
            </w:r>
            <w:r w:rsidRPr="00E6486E">
              <w:rPr>
                <w:rFonts w:ascii="Arial" w:hAnsi="Arial" w:cs="Arial"/>
                <w:color w:val="000000"/>
                <w:sz w:val="18"/>
                <w:szCs w:val="18"/>
              </w:rPr>
              <w:t>ethanol, exceeding the 2.7% required by the rule.</w:t>
            </w:r>
            <w:r w:rsidRPr="00E6486E">
              <w:rPr>
                <w:rStyle w:val="FootnoteReference"/>
                <w:rFonts w:ascii="Arial" w:hAnsi="Arial" w:cs="Arial"/>
                <w:color w:val="000000"/>
                <w:sz w:val="18"/>
                <w:szCs w:val="18"/>
              </w:rPr>
              <w:footnoteReference w:id="1"/>
            </w:r>
            <w:r w:rsidRPr="00E6486E">
              <w:rPr>
                <w:rFonts w:ascii="Arial" w:hAnsi="Arial" w:cs="Arial"/>
                <w:color w:val="000000"/>
                <w:sz w:val="18"/>
                <w:szCs w:val="18"/>
              </w:rPr>
              <w:t xml:space="preserve">  Considering this, the DAQ in consultation with the Environmental Protection Agency, have determined that this rule is no longer required to meet any SIP requirements.</w:t>
            </w:r>
          </w:p>
          <w:p w14:paraId="767698CA" w14:textId="77777777" w:rsidR="00CA5612" w:rsidRPr="00E6486E" w:rsidRDefault="00CA5612" w:rsidP="00CA5612">
            <w:pPr>
              <w:rPr>
                <w:rFonts w:ascii="Arial" w:hAnsi="Arial" w:cs="Arial"/>
                <w:color w:val="000000"/>
                <w:sz w:val="18"/>
                <w:szCs w:val="18"/>
              </w:rPr>
            </w:pPr>
          </w:p>
          <w:p w14:paraId="4650FC80" w14:textId="3ED06B3A" w:rsidR="00CA5612" w:rsidRPr="00414E0D" w:rsidRDefault="00CA5612" w:rsidP="00CA5612">
            <w:pPr>
              <w:rPr>
                <w:rFonts w:ascii="Arial" w:hAnsi="Arial" w:cs="Arial"/>
                <w:color w:val="000000" w:themeColor="text1"/>
                <w:sz w:val="18"/>
                <w:szCs w:val="18"/>
              </w:rPr>
            </w:pPr>
            <w:r w:rsidRPr="00E6486E">
              <w:rPr>
                <w:rFonts w:ascii="Arial" w:hAnsi="Arial" w:cs="Arial"/>
                <w:color w:val="000000"/>
                <w:sz w:val="18"/>
                <w:szCs w:val="18"/>
              </w:rPr>
              <w:t xml:space="preserve">Additionally, </w:t>
            </w:r>
            <w:r w:rsidRPr="00E6486E">
              <w:rPr>
                <w:rFonts w:ascii="Arial" w:hAnsi="Arial" w:cs="Arial"/>
                <w:sz w:val="18"/>
                <w:szCs w:val="18"/>
              </w:rPr>
              <w:t>monitored data shows that neither area has exceeded the CO standard since 1993. The DAQ continues to operate an air quality monitoring network in accordance with 40 CFR Part 58 to verify the continued attainment of the CO NAAQS, but as CO emissions continue to decline, it is unlikely that a violation of the 8-Hour CO standard will occur.</w:t>
            </w:r>
            <w:r>
              <w:t xml:space="preserve">   </w:t>
            </w:r>
          </w:p>
        </w:tc>
      </w:tr>
      <w:tr w:rsidR="00CA5612" w:rsidRPr="00414E0D" w14:paraId="714535C0" w14:textId="77777777" w:rsidTr="00CA5612">
        <w:trPr>
          <w:tblCellSpacing w:w="7" w:type="dxa"/>
          <w:jc w:val="center"/>
        </w:trPr>
        <w:tc>
          <w:tcPr>
            <w:tcW w:w="10225" w:type="dxa"/>
            <w:shd w:val="clear" w:color="auto" w:fill="F2F2F2" w:themeFill="background1" w:themeFillShade="F2"/>
          </w:tcPr>
          <w:p w14:paraId="388C166D" w14:textId="2F5CB065" w:rsidR="00CA5612" w:rsidRPr="00414E0D" w:rsidRDefault="00CA5612" w:rsidP="00CA5612">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Pr="00E945AC">
              <w:rPr>
                <w:rFonts w:ascii="Arial" w:hAnsi="Arial" w:cs="Arial"/>
                <w:color w:val="000000" w:themeColor="text1"/>
                <w:sz w:val="18"/>
                <w:szCs w:val="18"/>
              </w:rPr>
              <w:t xml:space="preserve"> (</w:t>
            </w:r>
            <w:r>
              <w:rPr>
                <w:rFonts w:ascii="Arial" w:hAnsi="Arial" w:cs="Arial"/>
                <w:color w:val="000000" w:themeColor="text1"/>
                <w:sz w:val="18"/>
                <w:szCs w:val="18"/>
              </w:rPr>
              <w:t>W</w:t>
            </w:r>
            <w:r w:rsidRPr="00E945AC">
              <w:rPr>
                <w:rFonts w:ascii="Arial" w:hAnsi="Arial" w:cs="Arial"/>
                <w:color w:val="000000" w:themeColor="text1"/>
                <w:sz w:val="18"/>
                <w:szCs w:val="18"/>
              </w:rPr>
              <w:t>hat does this filing do?</w:t>
            </w:r>
            <w:r>
              <w:rPr>
                <w:rFonts w:ascii="Arial" w:hAnsi="Arial" w:cs="Arial"/>
                <w:color w:val="000000" w:themeColor="text1"/>
                <w:sz w:val="18"/>
                <w:szCs w:val="18"/>
              </w:rPr>
              <w:t xml:space="preserve"> If this is a repeal and reenact, explain the substantive differences between the repealed rule and the reenacted rule</w:t>
            </w:r>
            <w:r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CA5612" w:rsidRPr="00414E0D" w14:paraId="3970452B" w14:textId="77777777" w:rsidTr="00CA5612">
        <w:trPr>
          <w:tblCellSpacing w:w="7" w:type="dxa"/>
          <w:jc w:val="center"/>
        </w:trPr>
        <w:tc>
          <w:tcPr>
            <w:tcW w:w="10225" w:type="dxa"/>
          </w:tcPr>
          <w:p w14:paraId="274F1475" w14:textId="7047C47C" w:rsidR="00CA5612" w:rsidRDefault="00CA5612" w:rsidP="00CA5612">
            <w:pPr>
              <w:rPr>
                <w:rFonts w:ascii="Arial" w:hAnsi="Arial" w:cs="Arial"/>
                <w:color w:val="000000" w:themeColor="text1"/>
                <w:sz w:val="18"/>
                <w:szCs w:val="18"/>
              </w:rPr>
            </w:pPr>
            <w:r w:rsidRPr="007E23BC">
              <w:rPr>
                <w:rFonts w:ascii="Arial" w:hAnsi="Arial" w:cs="Arial"/>
                <w:color w:val="000000" w:themeColor="text1"/>
                <w:sz w:val="18"/>
                <w:szCs w:val="18"/>
              </w:rPr>
              <w:t>This rule is repealed in its entirety.</w:t>
            </w:r>
          </w:p>
          <w:p w14:paraId="0C49AEF4" w14:textId="01C97B52" w:rsidR="00AA6586" w:rsidRDefault="00AA6586" w:rsidP="00CA5612">
            <w:pPr>
              <w:rPr>
                <w:rFonts w:ascii="Arial" w:hAnsi="Arial" w:cs="Arial"/>
                <w:color w:val="000000" w:themeColor="text1"/>
                <w:sz w:val="18"/>
                <w:szCs w:val="18"/>
              </w:rPr>
            </w:pPr>
          </w:p>
          <w:p w14:paraId="0B1E85E6" w14:textId="554B9E7E" w:rsidR="00AA6586" w:rsidRPr="00AA6586" w:rsidRDefault="00AA6586" w:rsidP="00AA6586">
            <w:pPr>
              <w:rPr>
                <w:rFonts w:ascii="Arial" w:hAnsi="Arial" w:cs="Arial"/>
                <w:color w:val="000000" w:themeColor="text1"/>
                <w:sz w:val="18"/>
                <w:szCs w:val="18"/>
              </w:rPr>
            </w:pPr>
            <w:r w:rsidRPr="00AA6586">
              <w:rPr>
                <w:rFonts w:ascii="Arial" w:hAnsi="Arial" w:cs="Arial"/>
                <w:color w:val="000000" w:themeColor="text1"/>
                <w:sz w:val="18"/>
                <w:szCs w:val="18"/>
              </w:rPr>
              <w:t xml:space="preserve">A public hearing is set for </w:t>
            </w:r>
            <w:r w:rsidR="00F65769">
              <w:rPr>
                <w:rFonts w:ascii="Arial" w:hAnsi="Arial" w:cs="Arial"/>
                <w:color w:val="000000" w:themeColor="text1"/>
                <w:sz w:val="18"/>
                <w:szCs w:val="18"/>
              </w:rPr>
              <w:t>Tuesday, January 18 2022</w:t>
            </w:r>
            <w:r w:rsidRPr="00AA6586">
              <w:rPr>
                <w:rFonts w:ascii="Arial" w:hAnsi="Arial" w:cs="Arial"/>
                <w:color w:val="000000" w:themeColor="text1"/>
                <w:sz w:val="18"/>
                <w:szCs w:val="18"/>
              </w:rPr>
              <w:t xml:space="preserve">.  Further details may be found below.  The hearing will be cancelled should no request for one be made by </w:t>
            </w:r>
            <w:r w:rsidR="00F65769">
              <w:rPr>
                <w:rFonts w:ascii="Arial" w:hAnsi="Arial" w:cs="Arial"/>
                <w:color w:val="000000" w:themeColor="text1"/>
                <w:sz w:val="18"/>
                <w:szCs w:val="18"/>
              </w:rPr>
              <w:t>Monday, January 17</w:t>
            </w:r>
            <w:r w:rsidRPr="00AA6586">
              <w:rPr>
                <w:rFonts w:ascii="Arial" w:hAnsi="Arial" w:cs="Arial"/>
                <w:color w:val="000000" w:themeColor="text1"/>
                <w:sz w:val="18"/>
                <w:szCs w:val="18"/>
              </w:rPr>
              <w:t>, 202</w:t>
            </w:r>
            <w:r w:rsidR="00F65769">
              <w:rPr>
                <w:rFonts w:ascii="Arial" w:hAnsi="Arial" w:cs="Arial"/>
                <w:color w:val="000000" w:themeColor="text1"/>
                <w:sz w:val="18"/>
                <w:szCs w:val="18"/>
              </w:rPr>
              <w:t>2 at 10:00am MST</w:t>
            </w:r>
            <w:r w:rsidRPr="00AA6586">
              <w:rPr>
                <w:rFonts w:ascii="Arial" w:hAnsi="Arial" w:cs="Arial"/>
                <w:color w:val="000000" w:themeColor="text1"/>
                <w:sz w:val="18"/>
                <w:szCs w:val="18"/>
              </w:rPr>
              <w:t xml:space="preserve">.  The final status of the public hearing will be posted on </w:t>
            </w:r>
            <w:r w:rsidR="00F65769">
              <w:rPr>
                <w:rFonts w:ascii="Arial" w:hAnsi="Arial" w:cs="Arial"/>
                <w:color w:val="000000" w:themeColor="text1"/>
                <w:sz w:val="18"/>
                <w:szCs w:val="18"/>
              </w:rPr>
              <w:t>Monday, January 17</w:t>
            </w:r>
            <w:r w:rsidRPr="00AA6586">
              <w:rPr>
                <w:rFonts w:ascii="Arial" w:hAnsi="Arial" w:cs="Arial"/>
                <w:color w:val="000000" w:themeColor="text1"/>
                <w:sz w:val="18"/>
                <w:szCs w:val="18"/>
              </w:rPr>
              <w:t>, 202</w:t>
            </w:r>
            <w:r w:rsidR="00F65769">
              <w:rPr>
                <w:rFonts w:ascii="Arial" w:hAnsi="Arial" w:cs="Arial"/>
                <w:color w:val="000000" w:themeColor="text1"/>
                <w:sz w:val="18"/>
                <w:szCs w:val="18"/>
              </w:rPr>
              <w:t>2</w:t>
            </w:r>
            <w:r w:rsidRPr="00AA6586">
              <w:rPr>
                <w:rFonts w:ascii="Arial" w:hAnsi="Arial" w:cs="Arial"/>
                <w:color w:val="000000" w:themeColor="text1"/>
                <w:sz w:val="18"/>
                <w:szCs w:val="18"/>
              </w:rPr>
              <w:t>, after 10:00AM MST.  The status of the public hearing may be checked at the following website location under the corresponding rule.</w:t>
            </w:r>
          </w:p>
          <w:p w14:paraId="2D0388EB" w14:textId="77777777" w:rsidR="00AA6586" w:rsidRPr="00AA6586" w:rsidRDefault="00AA6586" w:rsidP="00AA6586">
            <w:pPr>
              <w:rPr>
                <w:rFonts w:ascii="Arial" w:hAnsi="Arial" w:cs="Arial"/>
                <w:color w:val="000000" w:themeColor="text1"/>
                <w:sz w:val="18"/>
                <w:szCs w:val="18"/>
              </w:rPr>
            </w:pPr>
          </w:p>
          <w:p w14:paraId="7BA87A55" w14:textId="77777777" w:rsidR="00AA6586" w:rsidRPr="00F00FE5" w:rsidRDefault="00AA6586" w:rsidP="00AA6586">
            <w:pPr>
              <w:rPr>
                <w:rFonts w:ascii="Arial" w:hAnsi="Arial" w:cs="Arial"/>
                <w:color w:val="000000" w:themeColor="text1"/>
                <w:sz w:val="18"/>
                <w:szCs w:val="18"/>
              </w:rPr>
            </w:pPr>
            <w:r w:rsidRPr="00AA6586">
              <w:rPr>
                <w:rFonts w:ascii="Arial" w:hAnsi="Arial" w:cs="Arial"/>
                <w:sz w:val="18"/>
              </w:rPr>
              <w:t>https://deq.utah.gov/public-notices-archive/air-quality-rule-plan-changes-open-public-comment</w:t>
            </w:r>
          </w:p>
          <w:p w14:paraId="298CA081" w14:textId="77777777" w:rsidR="00AA6586" w:rsidRPr="00414E0D" w:rsidRDefault="00AA6586" w:rsidP="00CA5612">
            <w:pPr>
              <w:rPr>
                <w:rFonts w:ascii="Arial" w:hAnsi="Arial" w:cs="Arial"/>
                <w:color w:val="000000" w:themeColor="text1"/>
                <w:sz w:val="18"/>
                <w:szCs w:val="18"/>
              </w:rPr>
            </w:pPr>
          </w:p>
          <w:p w14:paraId="3EC8D3C0" w14:textId="77777777" w:rsidR="00CA5612" w:rsidRPr="00414E0D" w:rsidRDefault="00CA5612" w:rsidP="00CA5612">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lastRenderedPageBreak/>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547716">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547716">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6F6470A5" w14:textId="77777777" w:rsidR="00CA5612" w:rsidRPr="00414E0D" w:rsidRDefault="00CA5612" w:rsidP="00CA5612">
            <w:pPr>
              <w:keepLines/>
              <w:rPr>
                <w:rFonts w:ascii="Arial" w:hAnsi="Arial" w:cs="Arial"/>
                <w:color w:val="000000" w:themeColor="text1"/>
                <w:sz w:val="18"/>
                <w:szCs w:val="18"/>
              </w:rPr>
            </w:pPr>
            <w:r>
              <w:rPr>
                <w:rFonts w:ascii="Arial" w:hAnsi="Arial" w:cs="Arial"/>
                <w:color w:val="000000" w:themeColor="text1"/>
                <w:sz w:val="18"/>
                <w:szCs w:val="18"/>
              </w:rPr>
              <w:t xml:space="preserve">There are no anticipated costs or savings to the state budget because the tax credit no longer exists. </w:t>
            </w:r>
          </w:p>
          <w:p w14:paraId="1E479B34" w14:textId="77777777" w:rsidR="005732E8" w:rsidRPr="00414E0D" w:rsidRDefault="005732E8" w:rsidP="005A7398">
            <w:pPr>
              <w:keepLines/>
              <w:rPr>
                <w:rFonts w:ascii="Arial" w:hAnsi="Arial" w:cs="Arial"/>
                <w:color w:val="000000" w:themeColor="text1"/>
                <w:sz w:val="18"/>
                <w:szCs w:val="18"/>
              </w:rPr>
            </w:pP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547716">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650B2AA3" w14:textId="77777777" w:rsidR="00CA5612" w:rsidRPr="00414E0D" w:rsidRDefault="00CA5612" w:rsidP="00CA5612">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this rulemaking is not applicable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547716">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CA5612" w:rsidRPr="00414E0D" w14:paraId="3D5649A5" w14:textId="77777777" w:rsidTr="00414E0D">
        <w:trPr>
          <w:tblCellSpacing w:w="7" w:type="dxa"/>
          <w:jc w:val="center"/>
        </w:trPr>
        <w:tc>
          <w:tcPr>
            <w:tcW w:w="10225" w:type="dxa"/>
            <w:gridSpan w:val="4"/>
            <w:shd w:val="clear" w:color="auto" w:fill="auto"/>
          </w:tcPr>
          <w:p w14:paraId="79DEEB93" w14:textId="671AA524" w:rsidR="00CA5612" w:rsidRPr="00414E0D" w:rsidRDefault="00CA5612" w:rsidP="00CA5612">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small businesses because the tax credit no longer exists.</w:t>
            </w:r>
          </w:p>
          <w:p w14:paraId="5D5913B7" w14:textId="77777777" w:rsidR="00CA5612" w:rsidRPr="00414E0D" w:rsidRDefault="00CA5612" w:rsidP="00CA5612">
            <w:pPr>
              <w:keepLines/>
              <w:rPr>
                <w:rFonts w:ascii="Arial" w:hAnsi="Arial" w:cs="Arial"/>
                <w:color w:val="000000" w:themeColor="text1"/>
                <w:sz w:val="18"/>
                <w:szCs w:val="18"/>
              </w:rPr>
            </w:pPr>
          </w:p>
        </w:tc>
      </w:tr>
      <w:tr w:rsidR="00CA5612"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CA5612" w:rsidRPr="00414E0D" w:rsidRDefault="00CA5612" w:rsidP="00CA5612">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CA5612" w:rsidRPr="00414E0D" w14:paraId="7626ECA0" w14:textId="77777777" w:rsidTr="00414E0D">
        <w:trPr>
          <w:tblCellSpacing w:w="7" w:type="dxa"/>
          <w:jc w:val="center"/>
        </w:trPr>
        <w:tc>
          <w:tcPr>
            <w:tcW w:w="10225" w:type="dxa"/>
            <w:gridSpan w:val="4"/>
            <w:shd w:val="clear" w:color="auto" w:fill="auto"/>
          </w:tcPr>
          <w:p w14:paraId="481EB11D" w14:textId="77777777" w:rsidR="00CA5612" w:rsidRPr="00414E0D" w:rsidRDefault="00CA5612" w:rsidP="00CA5612">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non-small businesses because the tax credit no longer exists.</w:t>
            </w:r>
          </w:p>
          <w:p w14:paraId="2CA94E20" w14:textId="77777777" w:rsidR="00CA5612" w:rsidRPr="00414E0D" w:rsidRDefault="00CA5612" w:rsidP="00CA5612">
            <w:pPr>
              <w:keepLines/>
              <w:rPr>
                <w:rFonts w:ascii="Arial" w:hAnsi="Arial" w:cs="Arial"/>
                <w:color w:val="000000" w:themeColor="text1"/>
                <w:sz w:val="18"/>
                <w:szCs w:val="18"/>
              </w:rPr>
            </w:pPr>
          </w:p>
        </w:tc>
      </w:tr>
      <w:tr w:rsidR="00CA5612"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CA5612" w:rsidRPr="00414E0D" w:rsidRDefault="00CA5612" w:rsidP="00CA5612">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CA5612" w:rsidRPr="00414E0D" w14:paraId="02E866B4" w14:textId="77777777" w:rsidTr="00414E0D">
        <w:trPr>
          <w:trHeight w:val="287"/>
          <w:tblCellSpacing w:w="7" w:type="dxa"/>
          <w:jc w:val="center"/>
        </w:trPr>
        <w:tc>
          <w:tcPr>
            <w:tcW w:w="10225" w:type="dxa"/>
            <w:gridSpan w:val="4"/>
            <w:shd w:val="clear" w:color="auto" w:fill="auto"/>
          </w:tcPr>
          <w:p w14:paraId="4A03C0FA" w14:textId="77777777" w:rsidR="00CA5612" w:rsidRPr="00414E0D" w:rsidRDefault="00CA5612" w:rsidP="00CA5612">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for Persons other than small businesses, and non-small businesses, state, or local government because the tax credit no longer exists.</w:t>
            </w:r>
          </w:p>
          <w:p w14:paraId="774DE8C9" w14:textId="77777777" w:rsidR="00CA5612" w:rsidRPr="00414E0D" w:rsidRDefault="00CA5612" w:rsidP="00CA5612">
            <w:pPr>
              <w:keepLines/>
              <w:rPr>
                <w:rFonts w:ascii="Arial" w:hAnsi="Arial" w:cs="Arial"/>
                <w:color w:val="000000" w:themeColor="text1"/>
                <w:sz w:val="18"/>
                <w:szCs w:val="18"/>
              </w:rPr>
            </w:pPr>
          </w:p>
        </w:tc>
      </w:tr>
      <w:tr w:rsidR="00CA5612"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CA5612" w:rsidRPr="00414E0D" w:rsidRDefault="00CA5612" w:rsidP="00CA5612">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CA5612" w:rsidRPr="00414E0D" w14:paraId="1FB488DD" w14:textId="77777777" w:rsidTr="00414E0D">
        <w:trPr>
          <w:trHeight w:val="287"/>
          <w:tblCellSpacing w:w="7" w:type="dxa"/>
          <w:jc w:val="center"/>
        </w:trPr>
        <w:tc>
          <w:tcPr>
            <w:tcW w:w="10225" w:type="dxa"/>
            <w:gridSpan w:val="4"/>
          </w:tcPr>
          <w:p w14:paraId="64A6330B" w14:textId="77777777" w:rsidR="00CA5612" w:rsidRPr="00414E0D" w:rsidRDefault="00CA5612" w:rsidP="00CA5612">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 xml:space="preserve">There are no anticipated compliance costs for affected persons. </w:t>
            </w:r>
          </w:p>
          <w:p w14:paraId="324517F3" w14:textId="77777777" w:rsidR="00CA5612" w:rsidRPr="00414E0D" w:rsidRDefault="00CA5612" w:rsidP="00CA5612">
            <w:pPr>
              <w:pStyle w:val="WW-Default"/>
              <w:rPr>
                <w:rFonts w:ascii="Arial" w:hAnsi="Arial" w:cs="Arial"/>
                <w:color w:val="000000" w:themeColor="text1"/>
                <w:sz w:val="18"/>
                <w:szCs w:val="18"/>
              </w:rPr>
            </w:pPr>
          </w:p>
        </w:tc>
      </w:tr>
      <w:tr w:rsidR="00CA5612"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CA5612" w:rsidRPr="00414E0D" w:rsidRDefault="00CA5612" w:rsidP="00CA5612">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CA5612" w:rsidRPr="00414E0D" w14:paraId="78CA57DE" w14:textId="77777777" w:rsidTr="00FE6AC7">
        <w:trPr>
          <w:tblCellSpacing w:w="7" w:type="dxa"/>
          <w:jc w:val="center"/>
        </w:trPr>
        <w:tc>
          <w:tcPr>
            <w:tcW w:w="10225" w:type="dxa"/>
            <w:gridSpan w:val="4"/>
            <w:shd w:val="clear" w:color="auto" w:fill="auto"/>
          </w:tcPr>
          <w:p w14:paraId="2BBB7BC4" w14:textId="77777777" w:rsidR="00CA5612" w:rsidRDefault="00CA5612" w:rsidP="00CA5612">
            <w:pPr>
              <w:rPr>
                <w:rFonts w:ascii="Arial" w:hAnsi="Arial" w:cs="Arial"/>
                <w:bCs/>
                <w:color w:val="000000" w:themeColor="text1"/>
                <w:sz w:val="18"/>
                <w:szCs w:val="18"/>
              </w:rPr>
            </w:pPr>
            <w:r>
              <w:rPr>
                <w:rFonts w:ascii="Arial" w:hAnsi="Arial" w:cs="Arial"/>
                <w:color w:val="000000"/>
                <w:sz w:val="18"/>
                <w:szCs w:val="18"/>
                <w:shd w:val="clear" w:color="auto" w:fill="FFFFFF"/>
              </w:rPr>
              <w:t>We do not expect any measurable fiscal impacts on businesses due to this rule repeal.</w:t>
            </w:r>
            <w:r>
              <w:rPr>
                <w:rFonts w:ascii="Arial" w:hAnsi="Arial" w:cs="Arial"/>
                <w:bCs/>
                <w:color w:val="000000" w:themeColor="text1"/>
                <w:sz w:val="18"/>
                <w:szCs w:val="18"/>
              </w:rPr>
              <w:t xml:space="preserve"> </w:t>
            </w:r>
          </w:p>
          <w:p w14:paraId="5287D828" w14:textId="77777777" w:rsidR="00CA5612" w:rsidRDefault="00CA5612" w:rsidP="00CA5612">
            <w:pPr>
              <w:rPr>
                <w:rFonts w:ascii="Arial" w:hAnsi="Arial" w:cs="Arial"/>
                <w:b/>
                <w:color w:val="000000" w:themeColor="text1"/>
                <w:sz w:val="18"/>
                <w:szCs w:val="18"/>
              </w:rPr>
            </w:pPr>
          </w:p>
          <w:p w14:paraId="407C5B16" w14:textId="3E341CF5" w:rsidR="00CA5612" w:rsidRDefault="00CA5612" w:rsidP="00CA5612">
            <w:pPr>
              <w:rPr>
                <w:rFonts w:ascii="Arial" w:hAnsi="Arial" w:cs="Arial"/>
                <w:b/>
                <w:color w:val="000000" w:themeColor="text1"/>
                <w:sz w:val="18"/>
                <w:szCs w:val="18"/>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sidR="00AA6586">
              <w:rPr>
                <w:rFonts w:ascii="Arial" w:hAnsi="Arial" w:cs="Arial"/>
                <w:color w:val="000000" w:themeColor="text1"/>
                <w:sz w:val="18"/>
                <w:szCs w:val="22"/>
              </w:rPr>
              <w:t xml:space="preserve"> Quality</w:t>
            </w:r>
          </w:p>
          <w:p w14:paraId="6C9DB234" w14:textId="50D4D62B" w:rsidR="00CA5612" w:rsidRPr="00414E0D" w:rsidRDefault="00CA5612" w:rsidP="00CA5612">
            <w:pPr>
              <w:rPr>
                <w:rFonts w:ascii="Arial" w:hAnsi="Arial" w:cs="Arial"/>
                <w:b/>
                <w:color w:val="000000" w:themeColor="text1"/>
                <w:sz w:val="18"/>
                <w:szCs w:val="18"/>
              </w:rPr>
            </w:pPr>
          </w:p>
        </w:tc>
      </w:tr>
      <w:tr w:rsidR="00CA5612"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CA5612" w:rsidRPr="00414E0D" w:rsidRDefault="00CA5612" w:rsidP="00CA5612">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CA5612" w:rsidRPr="00414E0D" w14:paraId="40F56BAC" w14:textId="77777777" w:rsidTr="00414E0D">
        <w:trPr>
          <w:trHeight w:val="47"/>
          <w:tblCellSpacing w:w="7" w:type="dxa"/>
          <w:jc w:val="center"/>
        </w:trPr>
        <w:tc>
          <w:tcPr>
            <w:tcW w:w="10225" w:type="dxa"/>
            <w:gridSpan w:val="4"/>
          </w:tcPr>
          <w:p w14:paraId="4B34BAF7" w14:textId="77777777" w:rsidR="00CA5612" w:rsidRPr="00414E0D" w:rsidRDefault="00CA5612" w:rsidP="00CA5612">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CA5612" w:rsidRPr="00414E0D" w14:paraId="70F9E01B" w14:textId="77777777" w:rsidTr="00414E0D">
        <w:trPr>
          <w:trHeight w:val="39"/>
          <w:tblCellSpacing w:w="7" w:type="dxa"/>
          <w:jc w:val="center"/>
        </w:trPr>
        <w:tc>
          <w:tcPr>
            <w:tcW w:w="2542" w:type="dxa"/>
          </w:tcPr>
          <w:p w14:paraId="22308C70"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CA5612" w:rsidRPr="00414E0D" w14:paraId="72CAF9E0" w14:textId="77777777" w:rsidTr="00414E0D">
        <w:trPr>
          <w:trHeight w:val="39"/>
          <w:tblCellSpacing w:w="7" w:type="dxa"/>
          <w:jc w:val="center"/>
        </w:trPr>
        <w:tc>
          <w:tcPr>
            <w:tcW w:w="2542" w:type="dxa"/>
          </w:tcPr>
          <w:p w14:paraId="3D17656B"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72723031" w14:textId="77777777" w:rsidTr="00414E0D">
        <w:trPr>
          <w:trHeight w:val="39"/>
          <w:tblCellSpacing w:w="7" w:type="dxa"/>
          <w:jc w:val="center"/>
        </w:trPr>
        <w:tc>
          <w:tcPr>
            <w:tcW w:w="2542" w:type="dxa"/>
          </w:tcPr>
          <w:p w14:paraId="6FE0FF62"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07480FC5" w14:textId="77777777" w:rsidTr="00414E0D">
        <w:trPr>
          <w:trHeight w:val="39"/>
          <w:tblCellSpacing w:w="7" w:type="dxa"/>
          <w:jc w:val="center"/>
        </w:trPr>
        <w:tc>
          <w:tcPr>
            <w:tcW w:w="2542" w:type="dxa"/>
          </w:tcPr>
          <w:p w14:paraId="21AFCC93"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446D1AB1" w14:textId="77777777" w:rsidTr="00414E0D">
        <w:trPr>
          <w:trHeight w:val="39"/>
          <w:tblCellSpacing w:w="7" w:type="dxa"/>
          <w:jc w:val="center"/>
        </w:trPr>
        <w:tc>
          <w:tcPr>
            <w:tcW w:w="2542" w:type="dxa"/>
          </w:tcPr>
          <w:p w14:paraId="72919F01"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2FC209A5" w14:textId="77777777" w:rsidTr="00414E0D">
        <w:trPr>
          <w:trHeight w:val="39"/>
          <w:tblCellSpacing w:w="7" w:type="dxa"/>
          <w:jc w:val="center"/>
        </w:trPr>
        <w:tc>
          <w:tcPr>
            <w:tcW w:w="2542" w:type="dxa"/>
          </w:tcPr>
          <w:p w14:paraId="28A5E074"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2BCB21F7" w14:textId="77777777" w:rsidTr="00414E0D">
        <w:trPr>
          <w:trHeight w:val="39"/>
          <w:tblCellSpacing w:w="7" w:type="dxa"/>
          <w:jc w:val="center"/>
        </w:trPr>
        <w:tc>
          <w:tcPr>
            <w:tcW w:w="2542" w:type="dxa"/>
          </w:tcPr>
          <w:p w14:paraId="41F8BB5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r>
      <w:tr w:rsidR="00CA5612" w:rsidRPr="00414E0D" w14:paraId="07820780" w14:textId="77777777" w:rsidTr="00414E0D">
        <w:trPr>
          <w:trHeight w:val="39"/>
          <w:tblCellSpacing w:w="7" w:type="dxa"/>
          <w:jc w:val="center"/>
        </w:trPr>
        <w:tc>
          <w:tcPr>
            <w:tcW w:w="2542" w:type="dxa"/>
          </w:tcPr>
          <w:p w14:paraId="2AE2CFEE"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CA5612" w:rsidRPr="00414E0D" w:rsidRDefault="00CA5612" w:rsidP="00CA5612">
            <w:pPr>
              <w:pStyle w:val="WW-Default"/>
              <w:rPr>
                <w:rFonts w:ascii="Arial" w:hAnsi="Arial" w:cs="Arial"/>
                <w:color w:val="000000" w:themeColor="text1"/>
                <w:sz w:val="18"/>
                <w:szCs w:val="18"/>
              </w:rPr>
            </w:pPr>
          </w:p>
        </w:tc>
        <w:tc>
          <w:tcPr>
            <w:tcW w:w="2549" w:type="dxa"/>
          </w:tcPr>
          <w:p w14:paraId="3F2F3708" w14:textId="77777777" w:rsidR="00CA5612" w:rsidRPr="00414E0D" w:rsidRDefault="00CA5612" w:rsidP="00CA5612">
            <w:pPr>
              <w:pStyle w:val="WW-Default"/>
              <w:rPr>
                <w:rFonts w:ascii="Arial" w:hAnsi="Arial" w:cs="Arial"/>
                <w:color w:val="000000" w:themeColor="text1"/>
                <w:sz w:val="18"/>
                <w:szCs w:val="18"/>
              </w:rPr>
            </w:pPr>
          </w:p>
        </w:tc>
        <w:tc>
          <w:tcPr>
            <w:tcW w:w="2543" w:type="dxa"/>
          </w:tcPr>
          <w:p w14:paraId="115F13A9" w14:textId="77777777" w:rsidR="00CA5612" w:rsidRPr="00414E0D" w:rsidRDefault="00CA5612" w:rsidP="00CA5612">
            <w:pPr>
              <w:pStyle w:val="WW-Default"/>
              <w:rPr>
                <w:rFonts w:ascii="Arial" w:hAnsi="Arial" w:cs="Arial"/>
                <w:color w:val="000000" w:themeColor="text1"/>
                <w:sz w:val="18"/>
                <w:szCs w:val="18"/>
              </w:rPr>
            </w:pPr>
          </w:p>
        </w:tc>
      </w:tr>
      <w:tr w:rsidR="00CA5612" w:rsidRPr="00414E0D" w14:paraId="40845275" w14:textId="77777777" w:rsidTr="00414E0D">
        <w:trPr>
          <w:trHeight w:val="39"/>
          <w:tblCellSpacing w:w="7" w:type="dxa"/>
          <w:jc w:val="center"/>
        </w:trPr>
        <w:tc>
          <w:tcPr>
            <w:tcW w:w="2542" w:type="dxa"/>
          </w:tcPr>
          <w:p w14:paraId="2266697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49BC5046" w14:textId="77777777" w:rsidTr="00414E0D">
        <w:trPr>
          <w:trHeight w:val="39"/>
          <w:tblCellSpacing w:w="7" w:type="dxa"/>
          <w:jc w:val="center"/>
        </w:trPr>
        <w:tc>
          <w:tcPr>
            <w:tcW w:w="2542" w:type="dxa"/>
          </w:tcPr>
          <w:p w14:paraId="2F5C27D9"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5DCD0F46" w14:textId="77777777" w:rsidTr="00414E0D">
        <w:trPr>
          <w:trHeight w:val="39"/>
          <w:tblCellSpacing w:w="7" w:type="dxa"/>
          <w:jc w:val="center"/>
        </w:trPr>
        <w:tc>
          <w:tcPr>
            <w:tcW w:w="2542" w:type="dxa"/>
          </w:tcPr>
          <w:p w14:paraId="58605DFA"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74C1AE6A" w14:textId="77777777" w:rsidTr="00414E0D">
        <w:trPr>
          <w:trHeight w:val="39"/>
          <w:tblCellSpacing w:w="7" w:type="dxa"/>
          <w:jc w:val="center"/>
        </w:trPr>
        <w:tc>
          <w:tcPr>
            <w:tcW w:w="2542" w:type="dxa"/>
          </w:tcPr>
          <w:p w14:paraId="1ECFD37D"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194B9F0C" w14:textId="77777777" w:rsidTr="00414E0D">
        <w:trPr>
          <w:trHeight w:val="39"/>
          <w:tblCellSpacing w:w="7" w:type="dxa"/>
          <w:jc w:val="center"/>
        </w:trPr>
        <w:tc>
          <w:tcPr>
            <w:tcW w:w="2542" w:type="dxa"/>
          </w:tcPr>
          <w:p w14:paraId="454D0860"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sz w:val="18"/>
                <w:szCs w:val="18"/>
              </w:rPr>
              <w:t>$0</w:t>
            </w:r>
          </w:p>
        </w:tc>
      </w:tr>
      <w:tr w:rsidR="00CA5612" w:rsidRPr="00414E0D" w14:paraId="0636CA50" w14:textId="77777777" w:rsidTr="00414E0D">
        <w:trPr>
          <w:trHeight w:val="39"/>
          <w:tblCellSpacing w:w="7" w:type="dxa"/>
          <w:jc w:val="center"/>
        </w:trPr>
        <w:tc>
          <w:tcPr>
            <w:tcW w:w="2542" w:type="dxa"/>
          </w:tcPr>
          <w:p w14:paraId="05215B6A"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r>
      <w:tr w:rsidR="00CA5612" w:rsidRPr="00414E0D" w14:paraId="5DFC9730" w14:textId="77777777" w:rsidTr="00414E0D">
        <w:trPr>
          <w:trHeight w:val="39"/>
          <w:tblCellSpacing w:w="7" w:type="dxa"/>
          <w:jc w:val="center"/>
        </w:trPr>
        <w:tc>
          <w:tcPr>
            <w:tcW w:w="2542" w:type="dxa"/>
          </w:tcPr>
          <w:p w14:paraId="7EFC2052"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CA5612" w:rsidRPr="00414E0D" w:rsidRDefault="00CA5612" w:rsidP="00CA5612">
            <w:pPr>
              <w:pStyle w:val="WW-Default"/>
              <w:rPr>
                <w:rFonts w:ascii="Arial" w:hAnsi="Arial" w:cs="Arial"/>
                <w:color w:val="000000" w:themeColor="text1"/>
                <w:sz w:val="18"/>
                <w:szCs w:val="18"/>
              </w:rPr>
            </w:pPr>
            <w:r w:rsidRPr="006F1B21">
              <w:rPr>
                <w:rFonts w:ascii="Arial" w:hAnsi="Arial" w:cs="Arial"/>
                <w:b/>
                <w:sz w:val="18"/>
                <w:szCs w:val="18"/>
              </w:rPr>
              <w:t>$0</w:t>
            </w:r>
          </w:p>
        </w:tc>
      </w:tr>
      <w:tr w:rsidR="00CA5612"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CA5612" w:rsidRPr="00414E0D" w:rsidRDefault="00CA5612" w:rsidP="00CA5612">
            <w:pPr>
              <w:rPr>
                <w:rFonts w:ascii="Arial" w:hAnsi="Arial" w:cs="Arial"/>
                <w:b/>
                <w:bCs/>
                <w:color w:val="000000" w:themeColor="text1"/>
                <w:sz w:val="18"/>
                <w:szCs w:val="18"/>
              </w:rPr>
            </w:pPr>
            <w:r>
              <w:rPr>
                <w:rFonts w:ascii="Arial" w:hAnsi="Arial" w:cs="Arial"/>
                <w:b/>
                <w:bCs/>
                <w:color w:val="000000" w:themeColor="text1"/>
                <w:sz w:val="18"/>
                <w:szCs w:val="18"/>
              </w:rPr>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CA5612" w:rsidRPr="00414E0D" w14:paraId="348A2945" w14:textId="77777777" w:rsidTr="00414E0D">
        <w:trPr>
          <w:trHeight w:val="305"/>
          <w:tblCellSpacing w:w="7" w:type="dxa"/>
          <w:jc w:val="center"/>
        </w:trPr>
        <w:tc>
          <w:tcPr>
            <w:tcW w:w="10225" w:type="dxa"/>
            <w:gridSpan w:val="4"/>
          </w:tcPr>
          <w:p w14:paraId="3C4F94D0" w14:textId="22FC45A4" w:rsidR="00CA5612" w:rsidRDefault="00CA5612" w:rsidP="00CA5612">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[Department Head title] </w:t>
            </w:r>
            <w:r w:rsidRPr="005A7398">
              <w:rPr>
                <w:rFonts w:ascii="Arial" w:hAnsi="Arial" w:cs="Arial"/>
                <w:color w:val="000000" w:themeColor="text1"/>
                <w:szCs w:val="20"/>
              </w:rPr>
              <w:t xml:space="preserve">of </w:t>
            </w:r>
            <w:r>
              <w:rPr>
                <w:rFonts w:ascii="Arial" w:hAnsi="Arial" w:cs="Arial"/>
                <w:color w:val="000000" w:themeColor="text1"/>
                <w:szCs w:val="20"/>
              </w:rPr>
              <w:t>[Department]</w:t>
            </w:r>
            <w:r w:rsidRPr="005A7398">
              <w:rPr>
                <w:rFonts w:ascii="Arial" w:hAnsi="Arial" w:cs="Arial"/>
                <w:color w:val="000000" w:themeColor="text1"/>
                <w:szCs w:val="20"/>
              </w:rPr>
              <w:t>, Jo Smith, has reviewed and approved this fiscal analysis.</w:t>
            </w:r>
          </w:p>
          <w:p w14:paraId="28613710" w14:textId="43BCC7F3" w:rsidR="00CA5612" w:rsidRPr="00414E0D" w:rsidRDefault="00CA5612" w:rsidP="00CA5612">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 xml:space="preserve">rovide a </w:t>
            </w:r>
            <w:r w:rsidR="00617D1E" w:rsidRPr="00617D1E">
              <w:rPr>
                <w:rFonts w:ascii="Arial" w:hAnsi="Arial" w:cs="Arial"/>
                <w:b/>
                <w:bCs/>
                <w:color w:val="000000" w:themeColor="text1"/>
                <w:sz w:val="18"/>
                <w:szCs w:val="18"/>
              </w:rPr>
              <w:lastRenderedPageBreak/>
              <w:t>citation to that requirement</w:t>
            </w:r>
            <w:r w:rsidR="005732E8" w:rsidRPr="00414E0D">
              <w:rPr>
                <w:rFonts w:ascii="Arial" w:hAnsi="Arial" w:cs="Arial"/>
                <w:b/>
                <w:bCs/>
                <w:color w:val="000000" w:themeColor="text1"/>
                <w:sz w:val="18"/>
                <w:szCs w:val="18"/>
              </w:rPr>
              <w:t>:</w:t>
            </w:r>
          </w:p>
        </w:tc>
      </w:tr>
      <w:tr w:rsidR="00CA5612"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465ABE8" w:rsidR="00CA5612" w:rsidRPr="00B61523" w:rsidRDefault="00CA5612" w:rsidP="00CA5612">
            <w:pPr>
              <w:rPr>
                <w:rFonts w:ascii="Arial" w:hAnsi="Arial" w:cs="Arial"/>
                <w:color w:val="000000" w:themeColor="text1"/>
                <w:sz w:val="18"/>
                <w:szCs w:val="18"/>
              </w:rPr>
            </w:pPr>
            <w:r>
              <w:rPr>
                <w:rFonts w:ascii="Arial" w:hAnsi="Arial" w:cs="Arial"/>
                <w:color w:val="000000" w:themeColor="text1"/>
                <w:sz w:val="18"/>
                <w:szCs w:val="18"/>
              </w:rPr>
              <w:lastRenderedPageBreak/>
              <w:t>Section 19-2-101</w:t>
            </w:r>
          </w:p>
        </w:tc>
        <w:tc>
          <w:tcPr>
            <w:tcW w:w="3404" w:type="dxa"/>
            <w:tcBorders>
              <w:top w:val="outset" w:sz="6" w:space="0" w:color="auto"/>
              <w:left w:val="outset" w:sz="6" w:space="0" w:color="auto"/>
              <w:bottom w:val="outset" w:sz="6" w:space="0" w:color="auto"/>
              <w:right w:val="outset" w:sz="6" w:space="0" w:color="auto"/>
            </w:tcBorders>
          </w:tcPr>
          <w:p w14:paraId="494B1861" w14:textId="0B80AE5D" w:rsidR="00CA5612" w:rsidRPr="00B61523" w:rsidRDefault="00CA5612" w:rsidP="00CA5612">
            <w:pPr>
              <w:rPr>
                <w:rFonts w:ascii="Arial" w:hAnsi="Arial" w:cs="Arial"/>
                <w:color w:val="000000" w:themeColor="text1"/>
                <w:sz w:val="18"/>
                <w:szCs w:val="18"/>
              </w:rPr>
            </w:pPr>
            <w:r>
              <w:rPr>
                <w:rFonts w:ascii="Arial" w:hAnsi="Arial" w:cs="Arial"/>
                <w:color w:val="000000" w:themeColor="text1"/>
                <w:sz w:val="18"/>
                <w:szCs w:val="18"/>
              </w:rPr>
              <w:t>Section 19-2-104</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CA5612" w:rsidRPr="00B61523" w:rsidRDefault="00CA5612" w:rsidP="00CA5612">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7716">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7716">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7716">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547716">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547716">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547716">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547716">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547716">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547716">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547716">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547716">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547716">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547716">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547716">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547716">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547716">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547716">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547716">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547716">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547716">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4E12D23E" w:rsidR="005732E8" w:rsidRPr="00414E0D" w:rsidRDefault="00CA5612" w:rsidP="00547716">
            <w:pPr>
              <w:rPr>
                <w:rFonts w:ascii="Arial" w:hAnsi="Arial" w:cs="Arial"/>
                <w:color w:val="000000" w:themeColor="text1"/>
                <w:sz w:val="18"/>
                <w:szCs w:val="18"/>
              </w:rPr>
            </w:pPr>
            <w:r>
              <w:rPr>
                <w:rFonts w:ascii="Arial" w:hAnsi="Arial" w:cs="Arial"/>
                <w:color w:val="000000" w:themeColor="text1"/>
                <w:sz w:val="18"/>
                <w:szCs w:val="18"/>
              </w:rPr>
              <w:t>01/14/2022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A5B021D" w:rsidR="005732E8" w:rsidRPr="00414E0D" w:rsidRDefault="00CA5612" w:rsidP="00547716">
            <w:pPr>
              <w:rPr>
                <w:rFonts w:ascii="Arial" w:hAnsi="Arial" w:cs="Arial"/>
                <w:color w:val="000000" w:themeColor="text1"/>
                <w:sz w:val="18"/>
                <w:szCs w:val="18"/>
              </w:rPr>
            </w:pPr>
            <w:r>
              <w:rPr>
                <w:rFonts w:ascii="Arial" w:hAnsi="Arial" w:cs="Arial"/>
                <w:color w:val="000000" w:themeColor="text1"/>
                <w:sz w:val="18"/>
                <w:szCs w:val="18"/>
              </w:rPr>
              <w:t>01/1</w:t>
            </w:r>
            <w:r w:rsidR="00B52EC4">
              <w:rPr>
                <w:rFonts w:ascii="Arial" w:hAnsi="Arial" w:cs="Arial"/>
                <w:color w:val="000000" w:themeColor="text1"/>
                <w:sz w:val="18"/>
                <w:szCs w:val="18"/>
              </w:rPr>
              <w:t>8</w:t>
            </w:r>
            <w:bookmarkStart w:id="1" w:name="_GoBack"/>
            <w:bookmarkEnd w:id="1"/>
            <w:r>
              <w:rPr>
                <w:rFonts w:ascii="Arial" w:hAnsi="Arial" w:cs="Arial"/>
                <w:color w:val="000000" w:themeColor="text1"/>
                <w:sz w:val="18"/>
                <w:szCs w:val="18"/>
              </w:rPr>
              <w:t>/2022</w:t>
            </w:r>
          </w:p>
        </w:tc>
        <w:tc>
          <w:tcPr>
            <w:tcW w:w="2909" w:type="dxa"/>
            <w:tcBorders>
              <w:top w:val="outset" w:sz="6" w:space="0" w:color="auto"/>
              <w:left w:val="outset" w:sz="6" w:space="0" w:color="auto"/>
              <w:bottom w:val="outset" w:sz="6" w:space="0" w:color="auto"/>
              <w:right w:val="outset" w:sz="6" w:space="0" w:color="auto"/>
            </w:tcBorders>
          </w:tcPr>
          <w:p w14:paraId="304FBF0E" w14:textId="5D91BB47" w:rsidR="005732E8" w:rsidRPr="00414E0D" w:rsidRDefault="00CA5612" w:rsidP="00547716">
            <w:pPr>
              <w:rPr>
                <w:rFonts w:ascii="Arial" w:hAnsi="Arial" w:cs="Arial"/>
                <w:color w:val="000000" w:themeColor="text1"/>
                <w:sz w:val="18"/>
                <w:szCs w:val="18"/>
              </w:rPr>
            </w:pPr>
            <w:r>
              <w:rPr>
                <w:rFonts w:ascii="Arial" w:hAnsi="Arial" w:cs="Arial"/>
                <w:color w:val="000000" w:themeColor="text1"/>
                <w:sz w:val="18"/>
                <w:szCs w:val="18"/>
              </w:rPr>
              <w:t>10:00</w:t>
            </w:r>
            <w:r w:rsidR="00AA6586">
              <w:rPr>
                <w:rFonts w:ascii="Arial" w:hAnsi="Arial" w:cs="Arial"/>
                <w:color w:val="000000" w:themeColor="text1"/>
                <w:sz w:val="18"/>
                <w:szCs w:val="18"/>
              </w:rPr>
              <w:t xml:space="preserve"> am</w:t>
            </w:r>
          </w:p>
        </w:tc>
        <w:tc>
          <w:tcPr>
            <w:tcW w:w="3806" w:type="dxa"/>
            <w:tcBorders>
              <w:top w:val="outset" w:sz="6" w:space="0" w:color="auto"/>
              <w:left w:val="outset" w:sz="6" w:space="0" w:color="auto"/>
              <w:bottom w:val="outset" w:sz="6" w:space="0" w:color="auto"/>
              <w:right w:val="outset" w:sz="6" w:space="0" w:color="auto"/>
            </w:tcBorders>
          </w:tcPr>
          <w:p w14:paraId="7E614BA8" w14:textId="5D7CC35D" w:rsidR="005732E8" w:rsidRPr="00414E0D" w:rsidRDefault="00AA6586" w:rsidP="00547716">
            <w:pPr>
              <w:rPr>
                <w:rFonts w:ascii="Arial" w:hAnsi="Arial" w:cs="Arial"/>
                <w:color w:val="000000" w:themeColor="text1"/>
                <w:sz w:val="18"/>
                <w:szCs w:val="18"/>
              </w:rPr>
            </w:pPr>
            <w:hyperlink r:id="rId7" w:history="1">
              <w:r w:rsidRPr="002F0A44">
                <w:rPr>
                  <w:rStyle w:val="Hyperlink"/>
                  <w:rFonts w:ascii="Arial" w:hAnsi="Arial" w:cs="Arial"/>
                  <w:sz w:val="18"/>
                  <w:szCs w:val="18"/>
                </w:rPr>
                <w:t>https://meet.google.com/zvn-ketw-ftd</w:t>
              </w:r>
            </w:hyperlink>
            <w:r>
              <w:rPr>
                <w:rFonts w:ascii="Arial" w:hAnsi="Arial" w:cs="Arial"/>
                <w:color w:val="000000" w:themeColor="text1"/>
                <w:sz w:val="18"/>
                <w:szCs w:val="18"/>
              </w:rPr>
              <w:t>, or 1-513-828-0269.  PIN 107-613-936</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547716">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547716">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547716">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547716">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547716">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547716">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547716">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547716">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547716">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64FF0004" w:rsidR="005732E8" w:rsidRPr="00414E0D" w:rsidRDefault="00CA5612" w:rsidP="00547716">
            <w:pPr>
              <w:rPr>
                <w:rFonts w:ascii="Arial" w:hAnsi="Arial" w:cs="Arial"/>
                <w:color w:val="000000" w:themeColor="text1"/>
                <w:sz w:val="18"/>
                <w:szCs w:val="18"/>
              </w:rPr>
            </w:pPr>
            <w:r>
              <w:rPr>
                <w:rFonts w:ascii="Arial" w:hAnsi="Arial" w:cs="Arial"/>
                <w:color w:val="000000" w:themeColor="text1"/>
                <w:sz w:val="18"/>
                <w:szCs w:val="18"/>
              </w:rPr>
              <w:t>01/21/2022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547716">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547716">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632678A7" w:rsidR="00C17968" w:rsidRPr="00414E0D" w:rsidRDefault="00CA5612" w:rsidP="00547716">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547716">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04F80F78" w:rsidR="00C17968" w:rsidRPr="00414E0D" w:rsidRDefault="00CA5612" w:rsidP="00547716">
            <w:pPr>
              <w:rPr>
                <w:rFonts w:ascii="Arial" w:hAnsi="Arial" w:cs="Arial"/>
                <w:color w:val="000000" w:themeColor="text1"/>
                <w:sz w:val="18"/>
                <w:szCs w:val="18"/>
              </w:rPr>
            </w:pPr>
            <w:r>
              <w:rPr>
                <w:rFonts w:ascii="Arial" w:hAnsi="Arial" w:cs="Arial"/>
                <w:color w:val="000000" w:themeColor="text1"/>
                <w:sz w:val="18"/>
                <w:szCs w:val="18"/>
              </w:rPr>
              <w:t>12/01/2021</w:t>
            </w:r>
          </w:p>
        </w:tc>
      </w:tr>
    </w:tbl>
    <w:p w14:paraId="7E27F8DE" w14:textId="7A2C9E67" w:rsidR="00AC60A3" w:rsidRDefault="00AC60A3" w:rsidP="00DC0B97">
      <w:pPr>
        <w:widowControl/>
        <w:autoSpaceDE/>
        <w:autoSpaceDN/>
        <w:adjustRightInd/>
        <w:rPr>
          <w:rFonts w:ascii="Arial" w:hAnsi="Arial" w:cs="Arial"/>
          <w:color w:val="000000" w:themeColor="text1"/>
          <w:szCs w:val="20"/>
        </w:rPr>
      </w:pPr>
    </w:p>
    <w:p w14:paraId="68EF5121" w14:textId="77777777" w:rsidR="00CA5612" w:rsidRPr="007A1B66" w:rsidRDefault="00CA5612" w:rsidP="00CA5612">
      <w:pPr>
        <w:jc w:val="both"/>
        <w:rPr>
          <w:strike/>
        </w:rPr>
      </w:pPr>
      <w:r w:rsidRPr="007A1B66">
        <w:rPr>
          <w:b/>
          <w:strike/>
        </w:rPr>
        <w:t>R307.  Environmental Quality, Air Quality.</w:t>
      </w:r>
    </w:p>
    <w:p w14:paraId="4008536D" w14:textId="77777777" w:rsidR="00CA5612" w:rsidRPr="007A1B66" w:rsidRDefault="00CA5612" w:rsidP="00CA5612">
      <w:pPr>
        <w:jc w:val="both"/>
        <w:rPr>
          <w:strike/>
        </w:rPr>
      </w:pPr>
      <w:r w:rsidRPr="007A1B66">
        <w:rPr>
          <w:b/>
          <w:strike/>
        </w:rPr>
        <w:t xml:space="preserve">R307-301.  Utah and Weber Counties:  Oxygenated Gasoline Program </w:t>
      </w:r>
      <w:proofErr w:type="gramStart"/>
      <w:r w:rsidRPr="007A1B66">
        <w:rPr>
          <w:b/>
          <w:strike/>
        </w:rPr>
        <w:t>As</w:t>
      </w:r>
      <w:proofErr w:type="gramEnd"/>
      <w:r w:rsidRPr="007A1B66">
        <w:rPr>
          <w:b/>
          <w:strike/>
        </w:rPr>
        <w:t xml:space="preserve"> a Contingency Measure.</w:t>
      </w:r>
    </w:p>
    <w:p w14:paraId="1A7560C8" w14:textId="77777777" w:rsidR="00CA5612" w:rsidRPr="007A1B66" w:rsidRDefault="00CA5612" w:rsidP="00CA5612">
      <w:pPr>
        <w:jc w:val="both"/>
        <w:rPr>
          <w:strike/>
        </w:rPr>
      </w:pPr>
      <w:r w:rsidRPr="007A1B66">
        <w:rPr>
          <w:b/>
          <w:strike/>
        </w:rPr>
        <w:t>R307-301-1.  Definitions.</w:t>
      </w:r>
    </w:p>
    <w:p w14:paraId="240E8684" w14:textId="77777777" w:rsidR="00CA5612" w:rsidRPr="007A1B66" w:rsidRDefault="00CA5612" w:rsidP="00CA5612">
      <w:pPr>
        <w:jc w:val="both"/>
        <w:rPr>
          <w:strike/>
        </w:rPr>
      </w:pPr>
      <w:r w:rsidRPr="007A1B66">
        <w:rPr>
          <w:strike/>
        </w:rPr>
        <w:tab/>
        <w:t>The following additional definitions apply to R307-301.</w:t>
      </w:r>
    </w:p>
    <w:p w14:paraId="5C4B2FB9" w14:textId="77777777" w:rsidR="00CA5612" w:rsidRPr="007A1B66" w:rsidRDefault="00CA5612" w:rsidP="00CA5612">
      <w:pPr>
        <w:jc w:val="both"/>
        <w:rPr>
          <w:strike/>
        </w:rPr>
      </w:pPr>
      <w:r w:rsidRPr="007A1B66">
        <w:rPr>
          <w:strike/>
        </w:rPr>
        <w:tab/>
        <w:t xml:space="preserve">"Averaging period" is the control period and means the period of time over which all gasoline sold or dispensed for use in a </w:t>
      </w:r>
      <w:r w:rsidRPr="007A1B66">
        <w:rPr>
          <w:strike/>
        </w:rPr>
        <w:lastRenderedPageBreak/>
        <w:t>control area by any control area responsible party or blender control area responsible party must comply with the average oxygen content standard.</w:t>
      </w:r>
    </w:p>
    <w:p w14:paraId="4B72A7C5" w14:textId="77777777" w:rsidR="00CA5612" w:rsidRPr="007A1B66" w:rsidRDefault="00CA5612" w:rsidP="00CA5612">
      <w:pPr>
        <w:jc w:val="both"/>
        <w:rPr>
          <w:strike/>
        </w:rPr>
      </w:pPr>
      <w:r w:rsidRPr="007A1B66">
        <w:rPr>
          <w:strike/>
        </w:rPr>
        <w:tab/>
        <w:t>"Blender control area responsible party (blender CAR)" means a person who owns oxygenated gasoline which is sold or dispensed from a control area oxygenate blending installation.</w:t>
      </w:r>
    </w:p>
    <w:p w14:paraId="089B090F" w14:textId="77777777" w:rsidR="00CA5612" w:rsidRPr="007A1B66" w:rsidRDefault="00CA5612" w:rsidP="00CA5612">
      <w:pPr>
        <w:jc w:val="both"/>
        <w:rPr>
          <w:strike/>
        </w:rPr>
      </w:pPr>
      <w:r w:rsidRPr="007A1B66">
        <w:rPr>
          <w:strike/>
        </w:rPr>
        <w:tab/>
        <w:t>"Blending Allowance" means the amount of oxygen a gasoline blend is allowed above its upper oxygen content limit.  Any gasoline blended under the provisions of 42 U.S.C. 7545(f)(1) addressing substantially similar fuels are permitted a blending allowance of 0.2% oxygen by weight.  Blending allowances are not given to gasoline blends granted a waiver by the Administrator under 42 U.S.C. 7545(f)(4).</w:t>
      </w:r>
    </w:p>
    <w:p w14:paraId="3EB74BC8" w14:textId="77777777" w:rsidR="00CA5612" w:rsidRPr="007A1B66" w:rsidRDefault="00CA5612" w:rsidP="00CA5612">
      <w:pPr>
        <w:jc w:val="both"/>
        <w:rPr>
          <w:strike/>
        </w:rPr>
      </w:pPr>
      <w:r w:rsidRPr="007A1B66">
        <w:rPr>
          <w:strike/>
        </w:rPr>
        <w:tab/>
        <w:t>"Carrier" means any person who transports, stores or causes the transportation or storage of gasoline at any point in the gasoline distribution network, without taking title to or otherwise having ownership of the gasoline, and without altering the quality or quantity of the gasoline.</w:t>
      </w:r>
    </w:p>
    <w:p w14:paraId="18E30E80" w14:textId="77777777" w:rsidR="00CA5612" w:rsidRPr="007A1B66" w:rsidRDefault="00CA5612" w:rsidP="00CA5612">
      <w:pPr>
        <w:jc w:val="both"/>
        <w:rPr>
          <w:strike/>
        </w:rPr>
      </w:pPr>
      <w:r w:rsidRPr="007A1B66">
        <w:rPr>
          <w:strike/>
        </w:rPr>
        <w:tab/>
        <w:t>"Control area" means a geographic area in which only gasoline under the oxygenated gasoline program may be sold or dispensed during the control period.</w:t>
      </w:r>
    </w:p>
    <w:p w14:paraId="59B00BFB" w14:textId="77777777" w:rsidR="00CA5612" w:rsidRPr="007A1B66" w:rsidRDefault="00CA5612" w:rsidP="00CA5612">
      <w:pPr>
        <w:jc w:val="both"/>
        <w:rPr>
          <w:strike/>
        </w:rPr>
      </w:pPr>
      <w:r w:rsidRPr="007A1B66">
        <w:rPr>
          <w:strike/>
        </w:rPr>
        <w:tab/>
        <w:t xml:space="preserve">"Control area oxygenate blending installation" means any installation or truck at which oxygenate is added to gasoline or gasoline </w:t>
      </w:r>
      <w:proofErr w:type="spellStart"/>
      <w:r w:rsidRPr="007A1B66">
        <w:rPr>
          <w:strike/>
        </w:rPr>
        <w:t>blendstock</w:t>
      </w:r>
      <w:proofErr w:type="spellEnd"/>
      <w:r w:rsidRPr="007A1B66">
        <w:rPr>
          <w:strike/>
        </w:rPr>
        <w:t xml:space="preserve"> which is intended for use in any control area, and at which the quality or quantity of the gasoline or gasoline </w:t>
      </w:r>
      <w:proofErr w:type="spellStart"/>
      <w:r w:rsidRPr="007A1B66">
        <w:rPr>
          <w:strike/>
        </w:rPr>
        <w:t>blendstock</w:t>
      </w:r>
      <w:proofErr w:type="spellEnd"/>
      <w:r w:rsidRPr="007A1B66">
        <w:rPr>
          <w:strike/>
        </w:rPr>
        <w:t xml:space="preserve"> is not otherwise altered, except through the addition of deposit-control additives.</w:t>
      </w:r>
    </w:p>
    <w:p w14:paraId="51C880F6" w14:textId="77777777" w:rsidR="00CA5612" w:rsidRPr="007A1B66" w:rsidRDefault="00CA5612" w:rsidP="00CA5612">
      <w:pPr>
        <w:jc w:val="both"/>
        <w:rPr>
          <w:strike/>
        </w:rPr>
      </w:pPr>
      <w:r w:rsidRPr="007A1B66">
        <w:rPr>
          <w:strike/>
        </w:rPr>
        <w:tab/>
        <w:t>"Control area responsible party (CAR)" means a person who owns oxygenated gasoline which is sold or dispensed from a control area terminal.</w:t>
      </w:r>
    </w:p>
    <w:p w14:paraId="140842F9" w14:textId="77777777" w:rsidR="00CA5612" w:rsidRPr="007A1B66" w:rsidRDefault="00CA5612" w:rsidP="00CA5612">
      <w:pPr>
        <w:jc w:val="both"/>
        <w:rPr>
          <w:strike/>
        </w:rPr>
      </w:pPr>
      <w:r w:rsidRPr="007A1B66">
        <w:rPr>
          <w:strike/>
        </w:rPr>
        <w:tab/>
        <w:t>"Control area terminal" means either a terminal which is capable of receiving gasoline in bulk, i.e., by pipeline, marine vessel or barge, or a terminal at which gasoline is altered either in quantity or quality, excluding the addition of deposit control additives, or both.  Gasoline which is intended for use in any control area is sold or dispensed into trucks at these control area terminals.</w:t>
      </w:r>
    </w:p>
    <w:p w14:paraId="1BFE09A0" w14:textId="77777777" w:rsidR="00CA5612" w:rsidRPr="007A1B66" w:rsidRDefault="00CA5612" w:rsidP="00CA5612">
      <w:pPr>
        <w:jc w:val="both"/>
        <w:rPr>
          <w:strike/>
        </w:rPr>
      </w:pPr>
      <w:r w:rsidRPr="007A1B66">
        <w:rPr>
          <w:strike/>
        </w:rPr>
        <w:tab/>
        <w:t>"Control period" means November 1 through the last day of February, during which time only oxygenated gasoline may be sold and dispensed in any control area.</w:t>
      </w:r>
    </w:p>
    <w:p w14:paraId="7BC3F751" w14:textId="77777777" w:rsidR="00CA5612" w:rsidRPr="007A1B66" w:rsidRDefault="00CA5612" w:rsidP="00CA5612">
      <w:pPr>
        <w:jc w:val="both"/>
        <w:rPr>
          <w:strike/>
        </w:rPr>
      </w:pPr>
      <w:r w:rsidRPr="007A1B66">
        <w:rPr>
          <w:strike/>
        </w:rPr>
        <w:tab/>
        <w:t>"Distributor" means any person who transports or stores or causes the transportation or storage of gasoline at any point between any gasoline refiner's installation and any retail outlet or wholesale purchaser-consumer's installation. A distributor is a blender CAR if the distributor alters the oxygen content of gasoline intended for use in any control area through the addition of one or more oxygenates, or lowers its oxygen content below the minimum oxygen content specified in R307-301-6.</w:t>
      </w:r>
    </w:p>
    <w:p w14:paraId="27F3E779" w14:textId="77777777" w:rsidR="00CA5612" w:rsidRPr="007A1B66" w:rsidRDefault="00CA5612" w:rsidP="00CA5612">
      <w:pPr>
        <w:jc w:val="both"/>
        <w:rPr>
          <w:strike/>
        </w:rPr>
      </w:pPr>
      <w:r w:rsidRPr="007A1B66">
        <w:rPr>
          <w:strike/>
        </w:rPr>
        <w:tab/>
        <w:t>"Gasoline" means any fuel sold for use in motor vehicles and motor vehicle engines, and commonly or commercially known or sold as gasoline.</w:t>
      </w:r>
    </w:p>
    <w:p w14:paraId="5303C8F9" w14:textId="77777777" w:rsidR="00CA5612" w:rsidRPr="007A1B66" w:rsidRDefault="00CA5612" w:rsidP="00CA5612">
      <w:pPr>
        <w:jc w:val="both"/>
        <w:rPr>
          <w:strike/>
        </w:rPr>
      </w:pPr>
      <w:r w:rsidRPr="007A1B66">
        <w:rPr>
          <w:strike/>
        </w:rPr>
        <w:tab/>
        <w:t xml:space="preserve">"Gasoline </w:t>
      </w:r>
      <w:proofErr w:type="spellStart"/>
      <w:r w:rsidRPr="007A1B66">
        <w:rPr>
          <w:strike/>
        </w:rPr>
        <w:t>blendstock</w:t>
      </w:r>
      <w:proofErr w:type="spellEnd"/>
      <w:r w:rsidRPr="007A1B66">
        <w:rPr>
          <w:strike/>
        </w:rPr>
        <w:t>" means a hydrocarbon material which by itself does not meet specifications for finished gasoline, but which can be blended with other components, including oxygenates, to produce a blended gasoline fully meeting the American Society for Testing and Materials (ASTM) or state specifications.</w:t>
      </w:r>
    </w:p>
    <w:p w14:paraId="5341E541" w14:textId="77777777" w:rsidR="00CA5612" w:rsidRPr="007A1B66" w:rsidRDefault="00CA5612" w:rsidP="00CA5612">
      <w:pPr>
        <w:jc w:val="both"/>
        <w:rPr>
          <w:strike/>
        </w:rPr>
      </w:pPr>
      <w:r w:rsidRPr="007A1B66">
        <w:rPr>
          <w:strike/>
        </w:rPr>
        <w:tab/>
        <w:t>"Non-oxygenated gasoline" means any gasoline which does not meet the definition of oxygenated gasoline.</w:t>
      </w:r>
    </w:p>
    <w:p w14:paraId="2204BE90" w14:textId="77777777" w:rsidR="00CA5612" w:rsidRPr="007A1B66" w:rsidRDefault="00CA5612" w:rsidP="00CA5612">
      <w:pPr>
        <w:jc w:val="both"/>
        <w:rPr>
          <w:strike/>
        </w:rPr>
      </w:pPr>
      <w:r w:rsidRPr="007A1B66">
        <w:rPr>
          <w:strike/>
        </w:rPr>
        <w:tab/>
        <w:t>"Oxygen content of gasoline blends" means percentage of oxygen by weight contained in a gasoline blend, based upon the percent by volume of each type of oxygenate contained in the gasoline blend, excluding denaturants and other non-oxygen-containing compounds.  All measurements shall be adjusted to 60 degrees Fahrenheit.</w:t>
      </w:r>
    </w:p>
    <w:p w14:paraId="2B0F6CE3" w14:textId="77777777" w:rsidR="00CA5612" w:rsidRPr="007A1B66" w:rsidRDefault="00CA5612" w:rsidP="00CA5612">
      <w:pPr>
        <w:jc w:val="both"/>
        <w:rPr>
          <w:strike/>
        </w:rPr>
      </w:pPr>
      <w:r w:rsidRPr="007A1B66">
        <w:rPr>
          <w:strike/>
        </w:rPr>
        <w:tab/>
        <w:t>"Oxygenate" means any substance, which when added to gasoline, increases the amount of oxygen in that gasoline blend.  Lawful use of any combination of these substances requires that they be substantially similar as provided for under 42 U.S.C. 7545(f)(1), or be permitted under a waiver granted by the Administrator of the Environmental Protection Agency under the authority of 42 U.S.C. 7545(f)(4).</w:t>
      </w:r>
    </w:p>
    <w:p w14:paraId="09D0FA63" w14:textId="77777777" w:rsidR="00CA5612" w:rsidRPr="007A1B66" w:rsidRDefault="00CA5612" w:rsidP="00CA5612">
      <w:pPr>
        <w:jc w:val="both"/>
        <w:rPr>
          <w:strike/>
        </w:rPr>
      </w:pPr>
      <w:r w:rsidRPr="007A1B66">
        <w:rPr>
          <w:strike/>
        </w:rPr>
        <w:tab/>
        <w:t>"Oxygenate blender" means a person who owns, leases, operates, controls, or supervises a control area oxygenate blending installation.</w:t>
      </w:r>
    </w:p>
    <w:p w14:paraId="31226B1A" w14:textId="77777777" w:rsidR="00CA5612" w:rsidRPr="007A1B66" w:rsidRDefault="00CA5612" w:rsidP="00CA5612">
      <w:pPr>
        <w:jc w:val="both"/>
        <w:rPr>
          <w:strike/>
        </w:rPr>
      </w:pPr>
      <w:r w:rsidRPr="007A1B66">
        <w:rPr>
          <w:strike/>
        </w:rPr>
        <w:tab/>
        <w:t>"Oxygenated gasoline" means any gasoline which contains at least 2.0% oxygen by weight, or 2.6% oxygen by weight if the average oxygen content standard is 3.1%, that was produced through the addition of one or more oxygenates to a gasoline and has been included in the oxygenated gasoline program accounting by a control area responsible party or blender control area responsible party and which is intended to be sold or dispensed for use in any control area.  Notwithstanding the foregoing, if the Board determines that the requirement of 2.0% oxygen by weight, or 2.6% oxygen by weight if the average oxygen content standard is 3.1%, will prevent or interfere with attainment of the PM</w:t>
      </w:r>
      <w:r w:rsidRPr="007A1B66">
        <w:rPr>
          <w:strike/>
          <w:vertAlign w:val="subscript"/>
        </w:rPr>
        <w:t>10</w:t>
      </w:r>
      <w:r w:rsidRPr="007A1B66">
        <w:rPr>
          <w:strike/>
        </w:rPr>
        <w:t xml:space="preserve"> National Ambient Air Quality Standard and the State requests and is granted a waiver from the Administrator of the Environmental Protection Agency under 42 U.S.C. 7545, the waiver amount granted by the Administrator of the Environmental Protection Agency shall apply.  Oxygenated gasoline containing lead is required to conform to the same waiver conditions or substantially similar ruling as unleaded gasoline as described in the definition of oxygenate.</w:t>
      </w:r>
    </w:p>
    <w:p w14:paraId="107394B2" w14:textId="77777777" w:rsidR="00CA5612" w:rsidRPr="007A1B66" w:rsidRDefault="00CA5612" w:rsidP="00CA5612">
      <w:pPr>
        <w:jc w:val="both"/>
        <w:rPr>
          <w:strike/>
        </w:rPr>
      </w:pPr>
      <w:r w:rsidRPr="007A1B66">
        <w:rPr>
          <w:strike/>
        </w:rPr>
        <w:tab/>
        <w:t>"Refiner" means any person who owns, leases, operates, controls, or supervises a refinery which produces gasoline for use in a control area during the applicable control period.</w:t>
      </w:r>
    </w:p>
    <w:p w14:paraId="3D1C38BF" w14:textId="77777777" w:rsidR="00CA5612" w:rsidRPr="007A1B66" w:rsidRDefault="00CA5612" w:rsidP="00CA5612">
      <w:pPr>
        <w:jc w:val="both"/>
        <w:rPr>
          <w:strike/>
        </w:rPr>
      </w:pPr>
      <w:r w:rsidRPr="007A1B66">
        <w:rPr>
          <w:strike/>
        </w:rPr>
        <w:tab/>
        <w:t>"Refinery" means a plant at which gasoline is produced.</w:t>
      </w:r>
    </w:p>
    <w:p w14:paraId="7EB9C72F" w14:textId="77777777" w:rsidR="00CA5612" w:rsidRPr="007A1B66" w:rsidRDefault="00CA5612" w:rsidP="00CA5612">
      <w:pPr>
        <w:jc w:val="both"/>
        <w:rPr>
          <w:strike/>
        </w:rPr>
      </w:pPr>
      <w:r w:rsidRPr="007A1B66">
        <w:rPr>
          <w:strike/>
        </w:rPr>
        <w:tab/>
        <w:t>"Reseller" means any person who purchases gasoline and resells or transfers it to a retailer or a wholesale purchaser-consumer.</w:t>
      </w:r>
    </w:p>
    <w:p w14:paraId="381B4113" w14:textId="77777777" w:rsidR="00CA5612" w:rsidRPr="007A1B66" w:rsidRDefault="00CA5612" w:rsidP="00CA5612">
      <w:pPr>
        <w:jc w:val="both"/>
        <w:rPr>
          <w:strike/>
        </w:rPr>
      </w:pPr>
      <w:r w:rsidRPr="007A1B66">
        <w:rPr>
          <w:strike/>
        </w:rPr>
        <w:tab/>
        <w:t>"Retail outlet" means any establishment at which gasoline is sold or offered for sale to the ultimate consumer for use in motor vehicles.</w:t>
      </w:r>
    </w:p>
    <w:p w14:paraId="089C3811" w14:textId="77777777" w:rsidR="00CA5612" w:rsidRPr="007A1B66" w:rsidRDefault="00CA5612" w:rsidP="00CA5612">
      <w:pPr>
        <w:jc w:val="both"/>
        <w:rPr>
          <w:strike/>
        </w:rPr>
      </w:pPr>
      <w:r w:rsidRPr="007A1B66">
        <w:rPr>
          <w:strike/>
        </w:rPr>
        <w:tab/>
        <w:t>"Retailer" means any person who owns, leases, operates, controls, or supervises a retail outlet.</w:t>
      </w:r>
    </w:p>
    <w:p w14:paraId="6C1FA68F" w14:textId="77777777" w:rsidR="00CA5612" w:rsidRPr="007A1B66" w:rsidRDefault="00CA5612" w:rsidP="00CA5612">
      <w:pPr>
        <w:jc w:val="both"/>
        <w:rPr>
          <w:strike/>
        </w:rPr>
      </w:pPr>
      <w:r w:rsidRPr="007A1B66">
        <w:rPr>
          <w:strike/>
        </w:rPr>
        <w:tab/>
        <w:t>"Terminal" means an installation at which gasoline is sold, or dispensed into trucks for transportation to retail outlets or wholesale purchaser-consumer installations.</w:t>
      </w:r>
    </w:p>
    <w:p w14:paraId="1545B99B" w14:textId="77777777" w:rsidR="00CA5612" w:rsidRPr="007A1B66" w:rsidRDefault="00CA5612" w:rsidP="00CA5612">
      <w:pPr>
        <w:jc w:val="both"/>
        <w:rPr>
          <w:strike/>
        </w:rPr>
      </w:pPr>
      <w:r w:rsidRPr="007A1B66">
        <w:rPr>
          <w:strike/>
        </w:rPr>
        <w:tab/>
        <w:t>"Trigger date" means the date on which is triggered the Contingency Action Level specified in Section IX.C.8.h or IX.C.6.e of the state implementation plan.</w:t>
      </w:r>
    </w:p>
    <w:p w14:paraId="2EEE3A50" w14:textId="77777777" w:rsidR="00CA5612" w:rsidRPr="007A1B66" w:rsidRDefault="00CA5612" w:rsidP="00CA5612">
      <w:pPr>
        <w:jc w:val="both"/>
        <w:rPr>
          <w:strike/>
        </w:rPr>
      </w:pPr>
      <w:r w:rsidRPr="007A1B66">
        <w:rPr>
          <w:strike/>
        </w:rPr>
        <w:lastRenderedPageBreak/>
        <w:tab/>
        <w:t>"Wholesale purchaser-consumer" means any organization that:</w:t>
      </w:r>
    </w:p>
    <w:p w14:paraId="043FE216" w14:textId="77777777" w:rsidR="00CA5612" w:rsidRPr="007A1B66" w:rsidRDefault="00CA5612" w:rsidP="00CA5612">
      <w:pPr>
        <w:jc w:val="both"/>
        <w:rPr>
          <w:strike/>
        </w:rPr>
      </w:pPr>
      <w:r w:rsidRPr="007A1B66">
        <w:rPr>
          <w:strike/>
        </w:rPr>
        <w:tab/>
        <w:t>(1)  is an ultimate consumer of gasoline;</w:t>
      </w:r>
    </w:p>
    <w:p w14:paraId="21D1235C" w14:textId="77777777" w:rsidR="00CA5612" w:rsidRPr="007A1B66" w:rsidRDefault="00CA5612" w:rsidP="00CA5612">
      <w:pPr>
        <w:jc w:val="both"/>
        <w:rPr>
          <w:strike/>
        </w:rPr>
      </w:pPr>
      <w:r w:rsidRPr="007A1B66">
        <w:rPr>
          <w:strike/>
        </w:rPr>
        <w:tab/>
        <w:t>(2)  purchases or obtains gasoline from a supplier for use in motor vehicles; and</w:t>
      </w:r>
    </w:p>
    <w:p w14:paraId="6F465131" w14:textId="77777777" w:rsidR="00CA5612" w:rsidRPr="007A1B66" w:rsidRDefault="00CA5612" w:rsidP="00CA5612">
      <w:pPr>
        <w:jc w:val="both"/>
        <w:rPr>
          <w:strike/>
        </w:rPr>
      </w:pPr>
      <w:r w:rsidRPr="007A1B66">
        <w:rPr>
          <w:strike/>
        </w:rPr>
        <w:tab/>
        <w:t>(3)  receives delivery of that product into a storage tank of at least 550-gallon capacity substantially under the control of that organization.</w:t>
      </w:r>
    </w:p>
    <w:p w14:paraId="77A5BDA8" w14:textId="77777777" w:rsidR="00CA5612" w:rsidRPr="007A1B66" w:rsidRDefault="00CA5612" w:rsidP="00CA5612">
      <w:pPr>
        <w:jc w:val="both"/>
        <w:rPr>
          <w:strike/>
        </w:rPr>
      </w:pPr>
      <w:r w:rsidRPr="007A1B66">
        <w:rPr>
          <w:strike/>
        </w:rPr>
        <w:tab/>
        <w:t>"Working day" means Monday through Friday, excluding observed federal and Utah state holidays.</w:t>
      </w:r>
    </w:p>
    <w:p w14:paraId="2C69D5C9" w14:textId="77777777" w:rsidR="00CA5612" w:rsidRPr="007A1B66" w:rsidRDefault="00CA5612" w:rsidP="00CA5612">
      <w:pPr>
        <w:jc w:val="both"/>
        <w:rPr>
          <w:strike/>
        </w:rPr>
      </w:pPr>
    </w:p>
    <w:p w14:paraId="733B4E51" w14:textId="77777777" w:rsidR="00CA5612" w:rsidRPr="007A1B66" w:rsidRDefault="00CA5612" w:rsidP="00CA5612">
      <w:pPr>
        <w:jc w:val="both"/>
        <w:rPr>
          <w:strike/>
        </w:rPr>
      </w:pPr>
      <w:r w:rsidRPr="007A1B66">
        <w:rPr>
          <w:b/>
          <w:strike/>
        </w:rPr>
        <w:t>R307-301-2.  Applicability and Control Period Start Dates.</w:t>
      </w:r>
    </w:p>
    <w:p w14:paraId="45387283" w14:textId="77777777" w:rsidR="00CA5612" w:rsidRPr="007A1B66" w:rsidRDefault="00CA5612" w:rsidP="00CA5612">
      <w:pPr>
        <w:jc w:val="both"/>
        <w:rPr>
          <w:strike/>
        </w:rPr>
      </w:pPr>
      <w:r w:rsidRPr="007A1B66">
        <w:rPr>
          <w:strike/>
        </w:rPr>
        <w:tab/>
        <w:t>(1)  Unless waived under authority of 42 U.S.C. 7545(m)(3) by the Administrator of the Environmental Protection Agency, R307-301 is applicable in Utah and Weber Counties.</w:t>
      </w:r>
    </w:p>
    <w:p w14:paraId="218DD373" w14:textId="77777777" w:rsidR="00CA5612" w:rsidRPr="007A1B66" w:rsidRDefault="00CA5612" w:rsidP="00CA5612">
      <w:pPr>
        <w:jc w:val="both"/>
        <w:rPr>
          <w:strike/>
        </w:rPr>
      </w:pPr>
      <w:r w:rsidRPr="007A1B66">
        <w:rPr>
          <w:strike/>
        </w:rPr>
        <w:tab/>
        <w:t>(2)  The first control period for areas for which R307-301 is applicable begins on November 1 following the trigger date for the county in which it has been triggered.</w:t>
      </w:r>
    </w:p>
    <w:p w14:paraId="58F59DAB" w14:textId="77777777" w:rsidR="00CA5612" w:rsidRPr="007A1B66" w:rsidRDefault="00CA5612" w:rsidP="00CA5612">
      <w:pPr>
        <w:jc w:val="both"/>
        <w:rPr>
          <w:strike/>
        </w:rPr>
      </w:pPr>
    </w:p>
    <w:p w14:paraId="61AEA07B" w14:textId="77777777" w:rsidR="00CA5612" w:rsidRPr="007A1B66" w:rsidRDefault="00CA5612" w:rsidP="00CA5612">
      <w:pPr>
        <w:jc w:val="both"/>
        <w:rPr>
          <w:strike/>
        </w:rPr>
      </w:pPr>
      <w:r w:rsidRPr="007A1B66">
        <w:rPr>
          <w:b/>
          <w:strike/>
        </w:rPr>
        <w:t>R307-301-3.  Average Oxygen Content Standard.</w:t>
      </w:r>
    </w:p>
    <w:p w14:paraId="034F7617" w14:textId="77777777" w:rsidR="00CA5612" w:rsidRPr="007A1B66" w:rsidRDefault="00CA5612" w:rsidP="00CA5612">
      <w:pPr>
        <w:jc w:val="both"/>
        <w:rPr>
          <w:strike/>
        </w:rPr>
      </w:pPr>
      <w:r w:rsidRPr="007A1B66">
        <w:rPr>
          <w:strike/>
        </w:rPr>
        <w:tab/>
        <w:t>(1)  All gasoline sold or dispensed during the control period, for use in each control area, by each CAR or blender CAR as defined in R307-301-1, shall be blended for each averaging period to contain an average oxygen content of not less than 2.7% oxygen by weight.</w:t>
      </w:r>
    </w:p>
    <w:p w14:paraId="1A71F6F2" w14:textId="77777777" w:rsidR="00CA5612" w:rsidRPr="007A1B66" w:rsidRDefault="00CA5612" w:rsidP="00CA5612">
      <w:pPr>
        <w:jc w:val="both"/>
        <w:rPr>
          <w:strike/>
        </w:rPr>
      </w:pPr>
      <w:r w:rsidRPr="007A1B66">
        <w:rPr>
          <w:strike/>
        </w:rPr>
        <w:tab/>
        <w:t>(2)  The averaging period over which all gasoline sold or dispensed in the control area is to be averaged shall be equal to the control period.</w:t>
      </w:r>
    </w:p>
    <w:p w14:paraId="211B6A4D" w14:textId="77777777" w:rsidR="00CA5612" w:rsidRPr="007A1B66" w:rsidRDefault="00CA5612" w:rsidP="00CA5612">
      <w:pPr>
        <w:jc w:val="both"/>
        <w:rPr>
          <w:strike/>
        </w:rPr>
      </w:pPr>
      <w:r w:rsidRPr="007A1B66">
        <w:rPr>
          <w:strike/>
        </w:rPr>
        <w:tab/>
        <w:t>(3)  All gasoline, both leaded and unleaded, shall be blended in compliance with 40 CFR Part 79 (1991) - Registration of Fuels and Fuel Additives and 40 CFR Part 80 (1991) - Regulation of Fuels and Fuel Additives.</w:t>
      </w:r>
    </w:p>
    <w:p w14:paraId="33C9C1EC" w14:textId="77777777" w:rsidR="00CA5612" w:rsidRPr="007A1B66" w:rsidRDefault="00CA5612" w:rsidP="00CA5612">
      <w:pPr>
        <w:jc w:val="both"/>
        <w:rPr>
          <w:strike/>
        </w:rPr>
      </w:pPr>
      <w:r w:rsidRPr="007A1B66">
        <w:rPr>
          <w:strike/>
        </w:rPr>
        <w:tab/>
        <w:t>(4)  Any gasoline blended under 42 U.S.C. 7545(f)(1) dealing with substantially similar fuels must be blended in compliance with the criteria specified in the substantially similar ruling.  Any extra volume of oxygenate or oxygenates added to gasoline blended under a substantially similar ruling as provided for under 42 U.S.C. 7545(f)(1) in excess of the criteria specified in 42 U.S.C. 7545(f)(1) may not be included in the compliance calculations specified in R307-301-5(2) and (3).</w:t>
      </w:r>
    </w:p>
    <w:p w14:paraId="5E214C2E" w14:textId="77777777" w:rsidR="00CA5612" w:rsidRPr="007A1B66" w:rsidRDefault="00CA5612" w:rsidP="00CA5612">
      <w:pPr>
        <w:jc w:val="both"/>
        <w:rPr>
          <w:strike/>
        </w:rPr>
      </w:pPr>
      <w:r w:rsidRPr="007A1B66">
        <w:rPr>
          <w:strike/>
        </w:rPr>
        <w:tab/>
        <w:t>(5)  Any gasoline blended under a waiver granted by the Environmental Protection Agency under the provisions of 42 U.S.C. 7545(f)(4) must be blended in compliance with the criteria specified in the appropriate waiver.  Gasoline blends waived to oxygen content above 2.7% oxygen by weight are not permitted a blending allowance for blending tolerance purposes.  Any extra volume of oxygenate in excess of the criteria specified in the appropriate waiver may not be included in the compliance calculations specified in R307-301-5(2) or (3).</w:t>
      </w:r>
    </w:p>
    <w:p w14:paraId="3E746B8F" w14:textId="77777777" w:rsidR="00CA5612" w:rsidRPr="007A1B66" w:rsidRDefault="00CA5612" w:rsidP="00CA5612">
      <w:pPr>
        <w:jc w:val="both"/>
        <w:rPr>
          <w:strike/>
        </w:rPr>
      </w:pPr>
      <w:r w:rsidRPr="007A1B66">
        <w:rPr>
          <w:strike/>
        </w:rPr>
        <w:tab/>
        <w:t>(6)  Oxygen content shall be determined in accordance with R307-301-4.</w:t>
      </w:r>
    </w:p>
    <w:p w14:paraId="134F278A" w14:textId="77777777" w:rsidR="00CA5612" w:rsidRPr="007A1B66" w:rsidRDefault="00CA5612" w:rsidP="00CA5612">
      <w:pPr>
        <w:jc w:val="both"/>
        <w:rPr>
          <w:strike/>
        </w:rPr>
      </w:pPr>
    </w:p>
    <w:p w14:paraId="5EACA3C3" w14:textId="77777777" w:rsidR="00CA5612" w:rsidRPr="007A1B66" w:rsidRDefault="00CA5612" w:rsidP="00CA5612">
      <w:pPr>
        <w:jc w:val="both"/>
        <w:rPr>
          <w:strike/>
        </w:rPr>
      </w:pPr>
      <w:r w:rsidRPr="007A1B66">
        <w:rPr>
          <w:b/>
          <w:strike/>
        </w:rPr>
        <w:t>R307-301-4.  Sampling, Testing, and Oxygen Content Calculations.</w:t>
      </w:r>
    </w:p>
    <w:p w14:paraId="20134662" w14:textId="77777777" w:rsidR="00CA5612" w:rsidRPr="007A1B66" w:rsidRDefault="00CA5612" w:rsidP="00CA5612">
      <w:pPr>
        <w:jc w:val="both"/>
        <w:rPr>
          <w:strike/>
        </w:rPr>
      </w:pPr>
      <w:r w:rsidRPr="007A1B66">
        <w:rPr>
          <w:strike/>
        </w:rPr>
        <w:tab/>
        <w:t>(1)  For the purpose of determining compliance with the requirements of R307-301, the oxygen content of gasoline shall be determined by one or both of the two following methods.</w:t>
      </w:r>
    </w:p>
    <w:p w14:paraId="1E7FEF93" w14:textId="77777777" w:rsidR="00CA5612" w:rsidRPr="007A1B66" w:rsidRDefault="00CA5612" w:rsidP="00CA5612">
      <w:pPr>
        <w:jc w:val="both"/>
        <w:rPr>
          <w:strike/>
        </w:rPr>
      </w:pPr>
      <w:r w:rsidRPr="007A1B66">
        <w:rPr>
          <w:strike/>
        </w:rPr>
        <w:tab/>
        <w:t>(a)  Volumetric Method. Oxygen content may be calculated by the volumetric method specified in the Environmental Protection Agency Guidelines for Oxygenated Gasoline Credit Programs under Section 211(m) of the Clean Air Act as Amended - Supplementary Information - Oxygen Content Conversions, published in the Federal Register on October 20, 1992.</w:t>
      </w:r>
    </w:p>
    <w:p w14:paraId="2D16A94E" w14:textId="77777777" w:rsidR="00CA5612" w:rsidRPr="007A1B66" w:rsidRDefault="00CA5612" w:rsidP="00CA5612">
      <w:pPr>
        <w:jc w:val="both"/>
        <w:rPr>
          <w:strike/>
        </w:rPr>
      </w:pPr>
      <w:r w:rsidRPr="007A1B66">
        <w:rPr>
          <w:strike/>
        </w:rPr>
        <w:tab/>
        <w:t>(b)  Chemical Analysis Method.</w:t>
      </w:r>
    </w:p>
    <w:p w14:paraId="5969D313" w14:textId="77777777" w:rsidR="00CA5612" w:rsidRPr="007A1B66" w:rsidRDefault="00CA5612" w:rsidP="00CA5612">
      <w:pPr>
        <w:jc w:val="both"/>
        <w:rPr>
          <w:strike/>
        </w:rPr>
      </w:pPr>
      <w:r w:rsidRPr="007A1B66">
        <w:rPr>
          <w:strike/>
        </w:rPr>
        <w:tab/>
        <w:t>(</w:t>
      </w:r>
      <w:proofErr w:type="spellStart"/>
      <w:r w:rsidRPr="007A1B66">
        <w:rPr>
          <w:strike/>
        </w:rPr>
        <w:t>i</w:t>
      </w:r>
      <w:proofErr w:type="spellEnd"/>
      <w:r w:rsidRPr="007A1B66">
        <w:rPr>
          <w:strike/>
        </w:rPr>
        <w:t>)  Use the sampling methodologies detailed in 40 CFR Part 80 (1993), Appendix D, to obtain a representative sample of the gasoline to be tested;</w:t>
      </w:r>
    </w:p>
    <w:p w14:paraId="4BD37384" w14:textId="77777777" w:rsidR="00CA5612" w:rsidRPr="007A1B66" w:rsidRDefault="00CA5612" w:rsidP="00CA5612">
      <w:pPr>
        <w:jc w:val="both"/>
        <w:rPr>
          <w:strike/>
        </w:rPr>
      </w:pPr>
      <w:r w:rsidRPr="007A1B66">
        <w:rPr>
          <w:strike/>
        </w:rPr>
        <w:tab/>
        <w:t>(ii)  Determine the oxygenate content of the sample by use of:</w:t>
      </w:r>
    </w:p>
    <w:p w14:paraId="0A037336" w14:textId="77777777" w:rsidR="00CA5612" w:rsidRPr="007A1B66" w:rsidRDefault="00CA5612" w:rsidP="00CA5612">
      <w:pPr>
        <w:jc w:val="both"/>
        <w:rPr>
          <w:strike/>
        </w:rPr>
      </w:pPr>
      <w:r w:rsidRPr="007A1B66">
        <w:rPr>
          <w:strike/>
        </w:rPr>
        <w:tab/>
        <w:t>(A)  the test method specified in ASTM Designation D4815-93, Testing Procedures--Method--ASTM Standard Test Method for Determination of C1 to C4 Alcohols and MTBE in Gasoline by Gas Chromatography,</w:t>
      </w:r>
    </w:p>
    <w:p w14:paraId="41679371" w14:textId="77777777" w:rsidR="00CA5612" w:rsidRPr="007A1B66" w:rsidRDefault="00CA5612" w:rsidP="00CA5612">
      <w:pPr>
        <w:jc w:val="both"/>
        <w:rPr>
          <w:strike/>
        </w:rPr>
      </w:pPr>
      <w:r w:rsidRPr="007A1B66">
        <w:rPr>
          <w:strike/>
        </w:rPr>
        <w:tab/>
        <w:t>(B)  the test method specified in Appendix C of Environmental Protection Agency Guidelines for Oxygenated Gasoline Credit Programs under Section 211(m) of the Clean Air Act as Amended - Test Procedure Test for the Determination of Oxygenates in Gasoline as published in the Federal Register on October 20, 1992, or</w:t>
      </w:r>
    </w:p>
    <w:p w14:paraId="3D903210" w14:textId="77777777" w:rsidR="00CA5612" w:rsidRPr="007A1B66" w:rsidRDefault="00CA5612" w:rsidP="00CA5612">
      <w:pPr>
        <w:jc w:val="both"/>
        <w:rPr>
          <w:strike/>
        </w:rPr>
      </w:pPr>
      <w:r w:rsidRPr="007A1B66">
        <w:rPr>
          <w:strike/>
        </w:rPr>
        <w:tab/>
        <w:t>(C)  an alternative test method approved by the director.</w:t>
      </w:r>
    </w:p>
    <w:p w14:paraId="5FDD6BBF" w14:textId="77777777" w:rsidR="00CA5612" w:rsidRPr="007A1B66" w:rsidRDefault="00CA5612" w:rsidP="00CA5612">
      <w:pPr>
        <w:jc w:val="both"/>
        <w:rPr>
          <w:strike/>
        </w:rPr>
      </w:pPr>
      <w:r w:rsidRPr="007A1B66">
        <w:rPr>
          <w:strike/>
        </w:rPr>
        <w:tab/>
        <w:t>(iii).  Calculate the oxygen content of the gasoline sampled by multiplying the mass concentration of each oxygenate in the gasoline sampled by the oxygen molecular weight contribution of the oxygenate set forth in (3) below.</w:t>
      </w:r>
    </w:p>
    <w:p w14:paraId="4C7B79B8" w14:textId="77777777" w:rsidR="00CA5612" w:rsidRPr="007A1B66" w:rsidRDefault="00CA5612" w:rsidP="00CA5612">
      <w:pPr>
        <w:jc w:val="both"/>
        <w:rPr>
          <w:strike/>
        </w:rPr>
      </w:pPr>
      <w:r w:rsidRPr="007A1B66">
        <w:rPr>
          <w:strike/>
        </w:rPr>
        <w:tab/>
        <w:t>(2)  All volume measurements required in R307-301-4 shall be adjusted to 60 degrees Fahrenheit.</w:t>
      </w:r>
    </w:p>
    <w:p w14:paraId="37F960EF" w14:textId="77777777" w:rsidR="00CA5612" w:rsidRPr="007A1B66" w:rsidRDefault="00CA5612" w:rsidP="00CA5612">
      <w:pPr>
        <w:jc w:val="both"/>
        <w:rPr>
          <w:strike/>
        </w:rPr>
      </w:pPr>
      <w:r w:rsidRPr="007A1B66">
        <w:rPr>
          <w:strike/>
        </w:rPr>
        <w:tab/>
        <w:t>(3)  For the purposes of R307-301, the oxygen molecular weight contributions and specific gravities of oxygenates currently approved for use in the United States by the U.S. Environmental Protection Agency are the following:</w:t>
      </w:r>
    </w:p>
    <w:p w14:paraId="75088989" w14:textId="77777777" w:rsidR="00CA5612" w:rsidRPr="007A1B66" w:rsidRDefault="00CA5612" w:rsidP="00CA5612">
      <w:pPr>
        <w:jc w:val="both"/>
        <w:rPr>
          <w:strike/>
        </w:rPr>
      </w:pPr>
    </w:p>
    <w:p w14:paraId="63914F5E" w14:textId="77777777" w:rsidR="00CA5612" w:rsidRPr="007A1B66" w:rsidRDefault="00CA5612" w:rsidP="00CA5612">
      <w:pPr>
        <w:tabs>
          <w:tab w:val="center" w:pos="4680"/>
        </w:tabs>
        <w:jc w:val="both"/>
        <w:rPr>
          <w:strike/>
        </w:rPr>
      </w:pPr>
      <w:r w:rsidRPr="007A1B66">
        <w:rPr>
          <w:strike/>
        </w:rPr>
        <w:tab/>
        <w:t>TABLE</w:t>
      </w:r>
    </w:p>
    <w:p w14:paraId="589EBA10" w14:textId="77777777" w:rsidR="00CA5612" w:rsidRPr="007A1B66" w:rsidRDefault="00CA5612" w:rsidP="00CA5612">
      <w:pPr>
        <w:tabs>
          <w:tab w:val="left" w:pos="-720"/>
        </w:tabs>
        <w:jc w:val="both"/>
        <w:rPr>
          <w:strike/>
        </w:rPr>
      </w:pPr>
    </w:p>
    <w:p w14:paraId="5C54EDC0" w14:textId="77777777" w:rsidR="00CA5612" w:rsidRPr="007A1B66" w:rsidRDefault="00CA5612" w:rsidP="00CA5612">
      <w:pPr>
        <w:tabs>
          <w:tab w:val="center" w:pos="4680"/>
        </w:tabs>
        <w:jc w:val="both"/>
        <w:rPr>
          <w:strike/>
        </w:rPr>
      </w:pPr>
      <w:r w:rsidRPr="007A1B66">
        <w:rPr>
          <w:strike/>
        </w:rPr>
        <w:tab/>
        <w:t>Specific Gravity and Weight Percent Oxygen of Common Oxygenates</w:t>
      </w:r>
    </w:p>
    <w:p w14:paraId="4131B4D8" w14:textId="77777777" w:rsidR="00CA5612" w:rsidRPr="007A1B66" w:rsidRDefault="00CA5612" w:rsidP="00CA5612">
      <w:pPr>
        <w:tabs>
          <w:tab w:val="left" w:pos="-720"/>
        </w:tabs>
        <w:jc w:val="both"/>
        <w:rPr>
          <w:strike/>
        </w:rPr>
      </w:pPr>
    </w:p>
    <w:p w14:paraId="2AF390FF" w14:textId="77777777" w:rsidR="00CA5612" w:rsidRPr="007A1B66" w:rsidRDefault="00CA5612" w:rsidP="00CA5612">
      <w:pPr>
        <w:tabs>
          <w:tab w:val="left" w:pos="-720"/>
        </w:tabs>
        <w:jc w:val="both"/>
        <w:rPr>
          <w:strike/>
        </w:rPr>
      </w:pPr>
      <w:r w:rsidRPr="007A1B66">
        <w:rPr>
          <w:strike/>
        </w:rPr>
        <w:t xml:space="preserve">oxygenate                   weight </w:t>
      </w:r>
      <w:proofErr w:type="gramStart"/>
      <w:r w:rsidRPr="007A1B66">
        <w:rPr>
          <w:strike/>
        </w:rPr>
        <w:t>fraction  specific</w:t>
      </w:r>
      <w:proofErr w:type="gramEnd"/>
      <w:r w:rsidRPr="007A1B66">
        <w:rPr>
          <w:strike/>
        </w:rPr>
        <w:t xml:space="preserve"> gravity</w:t>
      </w:r>
    </w:p>
    <w:p w14:paraId="5D0E47E6" w14:textId="77777777" w:rsidR="00CA5612" w:rsidRPr="007A1B66" w:rsidRDefault="00CA5612" w:rsidP="00CA5612">
      <w:pPr>
        <w:tabs>
          <w:tab w:val="left" w:pos="-720"/>
        </w:tabs>
        <w:jc w:val="both"/>
        <w:rPr>
          <w:strike/>
        </w:rPr>
      </w:pPr>
      <w:r w:rsidRPr="007A1B66">
        <w:rPr>
          <w:strike/>
        </w:rPr>
        <w:t xml:space="preserve">                                   oxygen    at 60 degrees F</w:t>
      </w:r>
    </w:p>
    <w:p w14:paraId="07E9246A" w14:textId="77777777" w:rsidR="00CA5612" w:rsidRPr="007A1B66" w:rsidRDefault="00CA5612" w:rsidP="00CA5612">
      <w:pPr>
        <w:tabs>
          <w:tab w:val="left" w:pos="-720"/>
        </w:tabs>
        <w:jc w:val="both"/>
        <w:rPr>
          <w:strike/>
        </w:rPr>
      </w:pPr>
      <w:r w:rsidRPr="007A1B66">
        <w:rPr>
          <w:strike/>
        </w:rPr>
        <w:t>ethyl alcohol                      0.3473       0.7939</w:t>
      </w:r>
    </w:p>
    <w:p w14:paraId="1626B287" w14:textId="77777777" w:rsidR="00CA5612" w:rsidRPr="007A1B66" w:rsidRDefault="00CA5612" w:rsidP="00CA5612">
      <w:pPr>
        <w:tabs>
          <w:tab w:val="left" w:pos="-720"/>
        </w:tabs>
        <w:jc w:val="both"/>
        <w:rPr>
          <w:strike/>
        </w:rPr>
      </w:pPr>
      <w:r w:rsidRPr="007A1B66">
        <w:rPr>
          <w:strike/>
        </w:rPr>
        <w:t>normal propyl alcohol              0.2662       0.8080</w:t>
      </w:r>
    </w:p>
    <w:p w14:paraId="659BAB79" w14:textId="77777777" w:rsidR="00CA5612" w:rsidRPr="007A1B66" w:rsidRDefault="00CA5612" w:rsidP="00CA5612">
      <w:pPr>
        <w:tabs>
          <w:tab w:val="left" w:pos="-720"/>
        </w:tabs>
        <w:jc w:val="both"/>
        <w:rPr>
          <w:strike/>
        </w:rPr>
      </w:pPr>
      <w:r w:rsidRPr="007A1B66">
        <w:rPr>
          <w:strike/>
        </w:rPr>
        <w:lastRenderedPageBreak/>
        <w:t>isopropyl alcohol                  0.2662       0.7899</w:t>
      </w:r>
    </w:p>
    <w:p w14:paraId="200E3745" w14:textId="77777777" w:rsidR="00CA5612" w:rsidRPr="007A1B66" w:rsidRDefault="00CA5612" w:rsidP="00CA5612">
      <w:pPr>
        <w:tabs>
          <w:tab w:val="left" w:pos="-720"/>
        </w:tabs>
        <w:jc w:val="both"/>
        <w:rPr>
          <w:strike/>
        </w:rPr>
      </w:pPr>
      <w:r w:rsidRPr="007A1B66">
        <w:rPr>
          <w:strike/>
        </w:rPr>
        <w:t>normal butyl alcohol               0.2158       0.8137</w:t>
      </w:r>
    </w:p>
    <w:p w14:paraId="5C6B24A3" w14:textId="77777777" w:rsidR="00CA5612" w:rsidRPr="007A1B66" w:rsidRDefault="00CA5612" w:rsidP="00CA5612">
      <w:pPr>
        <w:tabs>
          <w:tab w:val="left" w:pos="-720"/>
        </w:tabs>
        <w:jc w:val="both"/>
        <w:rPr>
          <w:strike/>
        </w:rPr>
      </w:pPr>
      <w:r w:rsidRPr="007A1B66">
        <w:rPr>
          <w:strike/>
        </w:rPr>
        <w:t>isobutyl alcohol                   0.2158       0.8058</w:t>
      </w:r>
    </w:p>
    <w:p w14:paraId="15696180" w14:textId="77777777" w:rsidR="00CA5612" w:rsidRPr="007A1B66" w:rsidRDefault="00CA5612" w:rsidP="00CA5612">
      <w:pPr>
        <w:tabs>
          <w:tab w:val="left" w:pos="-720"/>
        </w:tabs>
        <w:jc w:val="both"/>
        <w:rPr>
          <w:strike/>
        </w:rPr>
      </w:pPr>
      <w:r w:rsidRPr="007A1B66">
        <w:rPr>
          <w:strike/>
        </w:rPr>
        <w:t>secondary butyl alcohol            0.2158       0.8114</w:t>
      </w:r>
    </w:p>
    <w:p w14:paraId="06CE2EA4" w14:textId="77777777" w:rsidR="00CA5612" w:rsidRPr="007A1B66" w:rsidRDefault="00CA5612" w:rsidP="00CA5612">
      <w:pPr>
        <w:tabs>
          <w:tab w:val="left" w:pos="-720"/>
        </w:tabs>
        <w:jc w:val="both"/>
        <w:rPr>
          <w:strike/>
        </w:rPr>
      </w:pPr>
      <w:r w:rsidRPr="007A1B66">
        <w:rPr>
          <w:strike/>
        </w:rPr>
        <w:t>tertiary butyl alcohol             0.2158       0.7922</w:t>
      </w:r>
    </w:p>
    <w:p w14:paraId="2EDFF377" w14:textId="77777777" w:rsidR="00CA5612" w:rsidRPr="007A1B66" w:rsidRDefault="00CA5612" w:rsidP="00CA5612">
      <w:pPr>
        <w:tabs>
          <w:tab w:val="left" w:pos="-720"/>
        </w:tabs>
        <w:jc w:val="both"/>
        <w:rPr>
          <w:strike/>
        </w:rPr>
      </w:pPr>
      <w:r w:rsidRPr="007A1B66">
        <w:rPr>
          <w:strike/>
        </w:rPr>
        <w:t>methyl tertiary-butyl ether (MTBE) 0.1815       0.7460</w:t>
      </w:r>
    </w:p>
    <w:p w14:paraId="608BE44F" w14:textId="77777777" w:rsidR="00CA5612" w:rsidRPr="007A1B66" w:rsidRDefault="00CA5612" w:rsidP="00CA5612">
      <w:pPr>
        <w:tabs>
          <w:tab w:val="left" w:pos="-720"/>
        </w:tabs>
        <w:jc w:val="both"/>
        <w:rPr>
          <w:strike/>
        </w:rPr>
      </w:pPr>
      <w:r w:rsidRPr="007A1B66">
        <w:rPr>
          <w:strike/>
        </w:rPr>
        <w:t>tertiary amyl methyl ether (</w:t>
      </w:r>
      <w:proofErr w:type="gramStart"/>
      <w:r w:rsidRPr="007A1B66">
        <w:rPr>
          <w:strike/>
        </w:rPr>
        <w:t>TAME)  0.1566</w:t>
      </w:r>
      <w:proofErr w:type="gramEnd"/>
      <w:r w:rsidRPr="007A1B66">
        <w:rPr>
          <w:strike/>
        </w:rPr>
        <w:t xml:space="preserve">       0.7752</w:t>
      </w:r>
    </w:p>
    <w:p w14:paraId="71C2A0DC" w14:textId="77777777" w:rsidR="00CA5612" w:rsidRPr="007A1B66" w:rsidRDefault="00CA5612" w:rsidP="00CA5612">
      <w:pPr>
        <w:tabs>
          <w:tab w:val="left" w:pos="-720"/>
        </w:tabs>
        <w:jc w:val="both"/>
        <w:rPr>
          <w:strike/>
        </w:rPr>
      </w:pPr>
      <w:r w:rsidRPr="007A1B66">
        <w:rPr>
          <w:strike/>
        </w:rPr>
        <w:t>ethyl tertiary-butyl ether (</w:t>
      </w:r>
      <w:proofErr w:type="gramStart"/>
      <w:r w:rsidRPr="007A1B66">
        <w:rPr>
          <w:strike/>
        </w:rPr>
        <w:t>ETBE)  0.1566</w:t>
      </w:r>
      <w:proofErr w:type="gramEnd"/>
      <w:r w:rsidRPr="007A1B66">
        <w:rPr>
          <w:strike/>
        </w:rPr>
        <w:t xml:space="preserve">       0.7452</w:t>
      </w:r>
    </w:p>
    <w:p w14:paraId="52A202EB" w14:textId="77777777" w:rsidR="00CA5612" w:rsidRPr="007A1B66" w:rsidRDefault="00CA5612" w:rsidP="00CA5612">
      <w:pPr>
        <w:tabs>
          <w:tab w:val="center" w:pos="4680"/>
        </w:tabs>
        <w:jc w:val="both"/>
        <w:rPr>
          <w:strike/>
        </w:rPr>
      </w:pPr>
      <w:r w:rsidRPr="007A1B66">
        <w:rPr>
          <w:strike/>
        </w:rPr>
        <w:tab/>
      </w:r>
    </w:p>
    <w:p w14:paraId="2C56D9E6" w14:textId="77777777" w:rsidR="00CA5612" w:rsidRPr="007A1B66" w:rsidRDefault="00CA5612" w:rsidP="00CA5612">
      <w:pPr>
        <w:tabs>
          <w:tab w:val="left" w:pos="-720"/>
        </w:tabs>
        <w:jc w:val="both"/>
        <w:rPr>
          <w:strike/>
        </w:rPr>
      </w:pPr>
      <w:r w:rsidRPr="007A1B66">
        <w:rPr>
          <w:strike/>
        </w:rPr>
        <w:tab/>
        <w:t>(4)  Sampling, testing, and oxygen content calculation records shall be maintained for not less than two years after the end of each control period for which the information is required.</w:t>
      </w:r>
    </w:p>
    <w:p w14:paraId="1AF20EF2" w14:textId="77777777" w:rsidR="00CA5612" w:rsidRPr="007A1B66" w:rsidRDefault="00CA5612" w:rsidP="00CA5612">
      <w:pPr>
        <w:tabs>
          <w:tab w:val="left" w:pos="-720"/>
        </w:tabs>
        <w:jc w:val="both"/>
        <w:rPr>
          <w:strike/>
        </w:rPr>
      </w:pPr>
      <w:r w:rsidRPr="007A1B66">
        <w:rPr>
          <w:strike/>
        </w:rPr>
        <w:tab/>
        <w:t>(5)  Every refiner must determine the oxygen content of all gasoline produced for use in a control area by use of the methodology specified in (1) above.  Documentation shall include the percent oxygen by weight, each type of oxygenate, the purity of each oxygenate, and the percent oxygenate by volume for each oxygenate.  If a CAR or blender CAR alters the oxygen content of a gasoline intended for use within a control area during a control period, the CAR or blender CAR must determine the oxygen content of the gasoline by use of the methodology specified in (1) above.</w:t>
      </w:r>
    </w:p>
    <w:p w14:paraId="53340AD7" w14:textId="77777777" w:rsidR="00CA5612" w:rsidRPr="007A1B66" w:rsidRDefault="00CA5612" w:rsidP="00CA5612">
      <w:pPr>
        <w:tabs>
          <w:tab w:val="left" w:pos="-720"/>
        </w:tabs>
        <w:jc w:val="both"/>
        <w:rPr>
          <w:strike/>
        </w:rPr>
      </w:pPr>
    </w:p>
    <w:p w14:paraId="0E90CB66" w14:textId="77777777" w:rsidR="00CA5612" w:rsidRPr="007A1B66" w:rsidRDefault="00CA5612" w:rsidP="00CA5612">
      <w:pPr>
        <w:tabs>
          <w:tab w:val="left" w:pos="-720"/>
        </w:tabs>
        <w:jc w:val="both"/>
        <w:rPr>
          <w:strike/>
        </w:rPr>
      </w:pPr>
      <w:r w:rsidRPr="007A1B66">
        <w:rPr>
          <w:b/>
          <w:strike/>
        </w:rPr>
        <w:t>R307-301-5.  Alternative Compliance Options.</w:t>
      </w:r>
    </w:p>
    <w:p w14:paraId="63D7D41B" w14:textId="77777777" w:rsidR="00CA5612" w:rsidRPr="007A1B66" w:rsidRDefault="00CA5612" w:rsidP="00CA5612">
      <w:pPr>
        <w:tabs>
          <w:tab w:val="left" w:pos="-720"/>
        </w:tabs>
        <w:jc w:val="both"/>
        <w:rPr>
          <w:strike/>
        </w:rPr>
      </w:pPr>
      <w:r w:rsidRPr="007A1B66">
        <w:rPr>
          <w:strike/>
        </w:rPr>
        <w:tab/>
        <w:t>(1)  Each CAR or blender CAR shall comply with the standard specified in R307-301-3 by means of the method set forth in either (2) or (3) below and shall specify which option will be used at the time of the registration required under R307-301-7.</w:t>
      </w:r>
    </w:p>
    <w:p w14:paraId="69F0F7A8" w14:textId="77777777" w:rsidR="00CA5612" w:rsidRPr="007A1B66" w:rsidRDefault="00CA5612" w:rsidP="00CA5612">
      <w:pPr>
        <w:tabs>
          <w:tab w:val="left" w:pos="-720"/>
        </w:tabs>
        <w:jc w:val="both"/>
        <w:rPr>
          <w:strike/>
        </w:rPr>
      </w:pPr>
      <w:r w:rsidRPr="007A1B66">
        <w:rPr>
          <w:strike/>
        </w:rPr>
        <w:tab/>
        <w:t>(2)  Compliance calculation on average basis.</w:t>
      </w:r>
    </w:p>
    <w:p w14:paraId="5C59DECB" w14:textId="77777777" w:rsidR="00CA5612" w:rsidRPr="007A1B66" w:rsidRDefault="00CA5612" w:rsidP="00CA5612">
      <w:pPr>
        <w:tabs>
          <w:tab w:val="left" w:pos="-720"/>
        </w:tabs>
        <w:jc w:val="both"/>
        <w:rPr>
          <w:strike/>
        </w:rPr>
      </w:pPr>
      <w:r w:rsidRPr="007A1B66">
        <w:rPr>
          <w:strike/>
        </w:rPr>
        <w:tab/>
        <w:t>(a)  The CAR or blender CAR shall determine compliance with the standard specified in R307-301-3 for each averaging period and for each control area by:</w:t>
      </w:r>
    </w:p>
    <w:p w14:paraId="7EC4E7C3"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Calculating the total volume of gasoline labeled as oxygenated that is sold or dispensed, not including volume dispensed or sold to another CAR or blender CAR, for use in the control area which is the sum of:</w:t>
      </w:r>
    </w:p>
    <w:p w14:paraId="62FC11C2" w14:textId="77777777" w:rsidR="00CA5612" w:rsidRPr="007A1B66" w:rsidRDefault="00CA5612" w:rsidP="00CA5612">
      <w:pPr>
        <w:tabs>
          <w:tab w:val="left" w:pos="-720"/>
        </w:tabs>
        <w:jc w:val="both"/>
        <w:rPr>
          <w:strike/>
        </w:rPr>
      </w:pPr>
      <w:r w:rsidRPr="007A1B66">
        <w:rPr>
          <w:strike/>
        </w:rPr>
        <w:tab/>
        <w:t>(A)  the volume of each separate batch or truckload of gasoline labeled as oxygenated that is sold or dispensed;</w:t>
      </w:r>
    </w:p>
    <w:p w14:paraId="7B422B4C" w14:textId="77777777" w:rsidR="00CA5612" w:rsidRPr="007A1B66" w:rsidRDefault="00CA5612" w:rsidP="00CA5612">
      <w:pPr>
        <w:tabs>
          <w:tab w:val="left" w:pos="-720"/>
        </w:tabs>
        <w:jc w:val="both"/>
        <w:rPr>
          <w:strike/>
        </w:rPr>
      </w:pPr>
      <w:r w:rsidRPr="007A1B66">
        <w:rPr>
          <w:strike/>
        </w:rPr>
        <w:tab/>
        <w:t>(B)  minus the volume of each separate batch or truckload of gasoline labeled as oxygenated that is sold or dispensed for use in a different control area;</w:t>
      </w:r>
    </w:p>
    <w:p w14:paraId="3483EB0F" w14:textId="77777777" w:rsidR="00CA5612" w:rsidRPr="007A1B66" w:rsidRDefault="00CA5612" w:rsidP="00CA5612">
      <w:pPr>
        <w:tabs>
          <w:tab w:val="left" w:pos="-720"/>
        </w:tabs>
        <w:jc w:val="both"/>
        <w:rPr>
          <w:strike/>
        </w:rPr>
      </w:pPr>
      <w:r w:rsidRPr="007A1B66">
        <w:rPr>
          <w:strike/>
        </w:rPr>
        <w:tab/>
        <w:t>(C)  minus the volume of each separate batch or truckload of gasoline labeled as oxygenated that is sold or dispensed for use in any non-control area.</w:t>
      </w:r>
    </w:p>
    <w:p w14:paraId="43DD8061" w14:textId="77777777" w:rsidR="00CA5612" w:rsidRPr="007A1B66" w:rsidRDefault="00CA5612" w:rsidP="00CA5612">
      <w:pPr>
        <w:tabs>
          <w:tab w:val="left" w:pos="-720"/>
        </w:tabs>
        <w:jc w:val="both"/>
        <w:rPr>
          <w:strike/>
        </w:rPr>
      </w:pPr>
      <w:r w:rsidRPr="007A1B66">
        <w:rPr>
          <w:strike/>
        </w:rPr>
        <w:tab/>
        <w:t>(ii)  Calculating the required total oxygen credit units.  Multiply the total volume in gallons of gasoline labeled as oxygenated that is sold or dispensed for use in the control area, as determined by (</w:t>
      </w:r>
      <w:proofErr w:type="spellStart"/>
      <w:r w:rsidRPr="007A1B66">
        <w:rPr>
          <w:strike/>
        </w:rPr>
        <w:t>i</w:t>
      </w:r>
      <w:proofErr w:type="spellEnd"/>
      <w:r w:rsidRPr="007A1B66">
        <w:rPr>
          <w:strike/>
        </w:rPr>
        <w:t>) above, by the oxygen content standard specified in R307-301-3(1).</w:t>
      </w:r>
    </w:p>
    <w:p w14:paraId="2392F297" w14:textId="77777777" w:rsidR="00CA5612" w:rsidRPr="007A1B66" w:rsidRDefault="00CA5612" w:rsidP="00CA5612">
      <w:pPr>
        <w:tabs>
          <w:tab w:val="left" w:pos="-720"/>
        </w:tabs>
        <w:jc w:val="both"/>
        <w:rPr>
          <w:strike/>
        </w:rPr>
      </w:pPr>
      <w:r w:rsidRPr="007A1B66">
        <w:rPr>
          <w:strike/>
        </w:rPr>
        <w:tab/>
        <w:t>(iii)  Calculating the actual total oxygen credit units generated.  The actual total oxygen credit units generated is the sum of the volume of each batch or truckload of gasoline labeled as oxygenated that was sold or dispensed for use in the control area as determined by (</w:t>
      </w:r>
      <w:proofErr w:type="spellStart"/>
      <w:r w:rsidRPr="007A1B66">
        <w:rPr>
          <w:strike/>
        </w:rPr>
        <w:t>i</w:t>
      </w:r>
      <w:proofErr w:type="spellEnd"/>
      <w:r w:rsidRPr="007A1B66">
        <w:rPr>
          <w:strike/>
        </w:rPr>
        <w:t>) above, multiplied by the actual oxygen content by weight percent associated with each batch or truckload.  If a batch or truckload of gasoline is blended under the substantially similar provisions of 42 U.S.C. 7545(f)(1) or under a waiver granted by the Environmental Protection Agency under the provisions of 42 U.S.C. 7545(f)(4), any extra volume of oxygenate in excess of the substantially similar criteria including the blending tolerance of 0.2% oxygen by weight, or in excess of the appropriate waiver, cannot be included in the calculation of oxygen credit units.</w:t>
      </w:r>
    </w:p>
    <w:p w14:paraId="57714D2A" w14:textId="77777777" w:rsidR="00CA5612" w:rsidRPr="007A1B66" w:rsidRDefault="00CA5612" w:rsidP="00CA5612">
      <w:pPr>
        <w:tabs>
          <w:tab w:val="left" w:pos="-720"/>
        </w:tabs>
        <w:jc w:val="both"/>
        <w:rPr>
          <w:strike/>
        </w:rPr>
      </w:pPr>
      <w:r w:rsidRPr="007A1B66">
        <w:rPr>
          <w:strike/>
        </w:rPr>
        <w:tab/>
        <w:t xml:space="preserve">(iv)  Calculating the adjusted actual total oxygen credit units.  The adjusted actual total oxygen content units </w:t>
      </w:r>
      <w:proofErr w:type="gramStart"/>
      <w:r w:rsidRPr="007A1B66">
        <w:rPr>
          <w:strike/>
        </w:rPr>
        <w:t>is</w:t>
      </w:r>
      <w:proofErr w:type="gramEnd"/>
      <w:r w:rsidRPr="007A1B66">
        <w:rPr>
          <w:strike/>
        </w:rPr>
        <w:t xml:space="preserve"> the sum of the actual total oxygen credit units generated, as determined by (iii) above;</w:t>
      </w:r>
    </w:p>
    <w:p w14:paraId="30AA3AF2" w14:textId="77777777" w:rsidR="00CA5612" w:rsidRPr="007A1B66" w:rsidRDefault="00CA5612" w:rsidP="00CA5612">
      <w:pPr>
        <w:tabs>
          <w:tab w:val="left" w:pos="-720"/>
        </w:tabs>
        <w:jc w:val="both"/>
        <w:rPr>
          <w:strike/>
        </w:rPr>
      </w:pPr>
      <w:r w:rsidRPr="007A1B66">
        <w:rPr>
          <w:strike/>
        </w:rPr>
        <w:tab/>
        <w:t xml:space="preserve">(A)  </w:t>
      </w:r>
      <w:proofErr w:type="gramStart"/>
      <w:r w:rsidRPr="007A1B66">
        <w:rPr>
          <w:strike/>
        </w:rPr>
        <w:t>plus</w:t>
      </w:r>
      <w:proofErr w:type="gramEnd"/>
      <w:r w:rsidRPr="007A1B66">
        <w:rPr>
          <w:strike/>
        </w:rPr>
        <w:t xml:space="preserve"> the total oxygen credit units purchased, acquired through trade and received; and</w:t>
      </w:r>
    </w:p>
    <w:p w14:paraId="0DA424F8" w14:textId="77777777" w:rsidR="00CA5612" w:rsidRPr="007A1B66" w:rsidRDefault="00CA5612" w:rsidP="00CA5612">
      <w:pPr>
        <w:tabs>
          <w:tab w:val="left" w:pos="-720"/>
        </w:tabs>
        <w:jc w:val="both"/>
        <w:rPr>
          <w:strike/>
        </w:rPr>
      </w:pPr>
      <w:r w:rsidRPr="007A1B66">
        <w:rPr>
          <w:strike/>
        </w:rPr>
        <w:tab/>
        <w:t xml:space="preserve">(B)  minus the total oxygen credit units </w:t>
      </w:r>
      <w:proofErr w:type="spellStart"/>
      <w:proofErr w:type="gramStart"/>
      <w:r w:rsidRPr="007A1B66">
        <w:rPr>
          <w:strike/>
        </w:rPr>
        <w:t>sold,given</w:t>
      </w:r>
      <w:proofErr w:type="spellEnd"/>
      <w:proofErr w:type="gramEnd"/>
      <w:r w:rsidRPr="007A1B66">
        <w:rPr>
          <w:strike/>
        </w:rPr>
        <w:t xml:space="preserve"> away and provided through trade.</w:t>
      </w:r>
    </w:p>
    <w:p w14:paraId="6D2AE368" w14:textId="77777777" w:rsidR="00CA5612" w:rsidRPr="007A1B66" w:rsidRDefault="00CA5612" w:rsidP="00CA5612">
      <w:pPr>
        <w:tabs>
          <w:tab w:val="left" w:pos="-720"/>
        </w:tabs>
        <w:jc w:val="both"/>
        <w:rPr>
          <w:strike/>
        </w:rPr>
      </w:pPr>
      <w:r w:rsidRPr="007A1B66">
        <w:rPr>
          <w:strike/>
        </w:rPr>
        <w:tab/>
        <w:t xml:space="preserve">(v)  Comparing the adjusted actual total oxygen credit units with the required total oxygen credit units.  If the adjusted actual total content oxygen credit units </w:t>
      </w:r>
      <w:proofErr w:type="gramStart"/>
      <w:r w:rsidRPr="007A1B66">
        <w:rPr>
          <w:strike/>
        </w:rPr>
        <w:t>is</w:t>
      </w:r>
      <w:proofErr w:type="gramEnd"/>
      <w:r w:rsidRPr="007A1B66">
        <w:rPr>
          <w:strike/>
        </w:rPr>
        <w:t xml:space="preserve"> greater than or equal to the required total oxygen credit units, then the standard in R307-301-3 is met.  If the adjusted actual total oxygen credit units </w:t>
      </w:r>
      <w:proofErr w:type="gramStart"/>
      <w:r w:rsidRPr="007A1B66">
        <w:rPr>
          <w:strike/>
        </w:rPr>
        <w:t>is</w:t>
      </w:r>
      <w:proofErr w:type="gramEnd"/>
      <w:r w:rsidRPr="007A1B66">
        <w:rPr>
          <w:strike/>
        </w:rPr>
        <w:t xml:space="preserve"> less than the required total oxygen credit units, then the purchase of oxygen credit units is required in order to achieve compliance.</w:t>
      </w:r>
    </w:p>
    <w:p w14:paraId="2162F828" w14:textId="77777777" w:rsidR="00CA5612" w:rsidRPr="007A1B66" w:rsidRDefault="00CA5612" w:rsidP="00CA5612">
      <w:pPr>
        <w:tabs>
          <w:tab w:val="left" w:pos="-720"/>
        </w:tabs>
        <w:jc w:val="both"/>
        <w:rPr>
          <w:strike/>
        </w:rPr>
      </w:pPr>
      <w:r w:rsidRPr="007A1B66">
        <w:rPr>
          <w:strike/>
        </w:rPr>
        <w:tab/>
        <w:t>(vi)  In transferring oxygen credit units, the transferor shall provide the transferee with information as to how the credits were calculated, including the volume and oxygen content by weight percent of the gasoline associated with the credits.</w:t>
      </w:r>
    </w:p>
    <w:p w14:paraId="6CD6D53E" w14:textId="77777777" w:rsidR="00CA5612" w:rsidRPr="007A1B66" w:rsidRDefault="00CA5612" w:rsidP="00CA5612">
      <w:pPr>
        <w:tabs>
          <w:tab w:val="left" w:pos="-720"/>
        </w:tabs>
        <w:jc w:val="both"/>
        <w:rPr>
          <w:strike/>
        </w:rPr>
      </w:pPr>
      <w:r w:rsidRPr="007A1B66">
        <w:rPr>
          <w:strike/>
        </w:rPr>
        <w:tab/>
        <w:t>(b)  To determine the oxygen credit units associated with each batch or truck load of oxygenated gasoline sold or dispensed into the control area, use the running weighted oxygen content (RWOC) of the tank from which and at the time the batch or truckload was received (see (c) below).  In the case of batches or truckloads of gasoline to which oxygenate was added outside of the terminal storage tank from which it was received, use the weighted average of the RWOC and the oxygen content added as a result of the volume of the additional oxygenate added.</w:t>
      </w:r>
    </w:p>
    <w:p w14:paraId="08BFAD01" w14:textId="77777777" w:rsidR="00CA5612" w:rsidRPr="007A1B66" w:rsidRDefault="00CA5612" w:rsidP="00CA5612">
      <w:pPr>
        <w:tabs>
          <w:tab w:val="left" w:pos="-720"/>
        </w:tabs>
        <w:jc w:val="both"/>
        <w:rPr>
          <w:strike/>
        </w:rPr>
      </w:pPr>
      <w:r w:rsidRPr="007A1B66">
        <w:rPr>
          <w:strike/>
        </w:rPr>
        <w:tab/>
        <w:t>(c)  Running weighted oxygen content.  The RWOC accounts for the volume and oxygen content of all gasoline, including transfers to or from another CAR or blender CAR, which enters or leaves a terminal storage tank, and the oxygen contribution of all oxygenates which are added to the tank.  The RWOC must be calculated each time gasoline enters or leaves the tank or whenever oxygenates are added to the tank.  The RWOC is calculated weighing the following:</w:t>
      </w:r>
    </w:p>
    <w:p w14:paraId="3C5CAE0B"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volume and oxygen content by weight percent of the gasoline in the storage tank at the beginning of the averaging period;</w:t>
      </w:r>
    </w:p>
    <w:p w14:paraId="4A8DBC0E" w14:textId="77777777" w:rsidR="00CA5612" w:rsidRPr="007A1B66" w:rsidRDefault="00CA5612" w:rsidP="00CA5612">
      <w:pPr>
        <w:tabs>
          <w:tab w:val="left" w:pos="-720"/>
        </w:tabs>
        <w:jc w:val="both"/>
        <w:rPr>
          <w:strike/>
        </w:rPr>
      </w:pPr>
      <w:r w:rsidRPr="007A1B66">
        <w:rPr>
          <w:strike/>
        </w:rPr>
        <w:tab/>
        <w:t>(ii)  the volume and oxygen content by weight percent of gasoline entering the storage tank;</w:t>
      </w:r>
    </w:p>
    <w:p w14:paraId="3A7439AE" w14:textId="77777777" w:rsidR="00CA5612" w:rsidRPr="007A1B66" w:rsidRDefault="00CA5612" w:rsidP="00CA5612">
      <w:pPr>
        <w:tabs>
          <w:tab w:val="left" w:pos="-720"/>
        </w:tabs>
        <w:jc w:val="both"/>
        <w:rPr>
          <w:strike/>
        </w:rPr>
      </w:pPr>
      <w:r w:rsidRPr="007A1B66">
        <w:rPr>
          <w:strike/>
        </w:rPr>
        <w:lastRenderedPageBreak/>
        <w:tab/>
        <w:t>(iii)  the volume and oxygen content by weight percent of gasoline leaving the storage tank; and</w:t>
      </w:r>
    </w:p>
    <w:p w14:paraId="17D5A4D3" w14:textId="77777777" w:rsidR="00CA5612" w:rsidRPr="007A1B66" w:rsidRDefault="00CA5612" w:rsidP="00CA5612">
      <w:pPr>
        <w:tabs>
          <w:tab w:val="left" w:pos="-720"/>
        </w:tabs>
        <w:jc w:val="both"/>
        <w:rPr>
          <w:strike/>
        </w:rPr>
      </w:pPr>
      <w:r w:rsidRPr="007A1B66">
        <w:rPr>
          <w:strike/>
        </w:rPr>
        <w:tab/>
        <w:t>(iv)  the volume, type, purity and oxygen content by weight percent of the oxygenates added to the storage tank.</w:t>
      </w:r>
    </w:p>
    <w:p w14:paraId="7A20F99B" w14:textId="77777777" w:rsidR="00CA5612" w:rsidRPr="007A1B66" w:rsidRDefault="00CA5612" w:rsidP="00CA5612">
      <w:pPr>
        <w:tabs>
          <w:tab w:val="left" w:pos="-720"/>
        </w:tabs>
        <w:jc w:val="both"/>
        <w:rPr>
          <w:strike/>
        </w:rPr>
      </w:pPr>
      <w:r w:rsidRPr="007A1B66">
        <w:rPr>
          <w:strike/>
        </w:rPr>
        <w:tab/>
        <w:t>(d)  Credit transfers.  Credits may be used in the compliance calculation in (2)(a)(</w:t>
      </w:r>
      <w:proofErr w:type="spellStart"/>
      <w:r w:rsidRPr="007A1B66">
        <w:rPr>
          <w:strike/>
        </w:rPr>
        <w:t>i</w:t>
      </w:r>
      <w:proofErr w:type="spellEnd"/>
      <w:r w:rsidRPr="007A1B66">
        <w:rPr>
          <w:strike/>
        </w:rPr>
        <w:t>) above, provided that:</w:t>
      </w:r>
    </w:p>
    <w:p w14:paraId="5E14B009"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credits are generated in the same control area as they are used, i.e., no credits may be transferred between nonattainment areas;</w:t>
      </w:r>
    </w:p>
    <w:p w14:paraId="5AB22581" w14:textId="77777777" w:rsidR="00CA5612" w:rsidRPr="007A1B66" w:rsidRDefault="00CA5612" w:rsidP="00CA5612">
      <w:pPr>
        <w:tabs>
          <w:tab w:val="left" w:pos="-720"/>
        </w:tabs>
        <w:jc w:val="both"/>
        <w:rPr>
          <w:strike/>
        </w:rPr>
      </w:pPr>
      <w:r w:rsidRPr="007A1B66">
        <w:rPr>
          <w:strike/>
        </w:rPr>
        <w:tab/>
        <w:t>(ii)  the credits are generated in the same averaging period as they are used;</w:t>
      </w:r>
    </w:p>
    <w:p w14:paraId="7F55B6B4" w14:textId="77777777" w:rsidR="00CA5612" w:rsidRPr="007A1B66" w:rsidRDefault="00CA5612" w:rsidP="00CA5612">
      <w:pPr>
        <w:tabs>
          <w:tab w:val="left" w:pos="-720"/>
        </w:tabs>
        <w:jc w:val="both"/>
        <w:rPr>
          <w:strike/>
        </w:rPr>
      </w:pPr>
      <w:r w:rsidRPr="007A1B66">
        <w:rPr>
          <w:strike/>
        </w:rPr>
        <w:tab/>
        <w:t>(iii)  the ownership of credits is transferred only between CARs or blender CARs registered under the averaging compliance option specified in R307-301-7;</w:t>
      </w:r>
    </w:p>
    <w:p w14:paraId="164F065D" w14:textId="77777777" w:rsidR="00CA5612" w:rsidRPr="007A1B66" w:rsidRDefault="00CA5612" w:rsidP="00CA5612">
      <w:pPr>
        <w:tabs>
          <w:tab w:val="left" w:pos="-720"/>
        </w:tabs>
        <w:jc w:val="both"/>
        <w:rPr>
          <w:strike/>
        </w:rPr>
      </w:pPr>
      <w:r w:rsidRPr="007A1B66">
        <w:rPr>
          <w:strike/>
        </w:rPr>
        <w:tab/>
        <w:t>(iv)  the credit transfer agreement is made no later than 30 working days, as defined in R307-301-1, after the final day of the averaging period in which the credits are generated; and</w:t>
      </w:r>
    </w:p>
    <w:p w14:paraId="70B3D1B5" w14:textId="77777777" w:rsidR="00CA5612" w:rsidRPr="007A1B66" w:rsidRDefault="00CA5612" w:rsidP="00CA5612">
      <w:pPr>
        <w:tabs>
          <w:tab w:val="left" w:pos="-720"/>
        </w:tabs>
        <w:jc w:val="both"/>
        <w:rPr>
          <w:strike/>
        </w:rPr>
      </w:pPr>
      <w:r w:rsidRPr="007A1B66">
        <w:rPr>
          <w:strike/>
        </w:rPr>
        <w:tab/>
        <w:t>(v)  the credits are properly created.</w:t>
      </w:r>
    </w:p>
    <w:p w14:paraId="3D81083C" w14:textId="77777777" w:rsidR="00CA5612" w:rsidRPr="007A1B66" w:rsidRDefault="00CA5612" w:rsidP="00CA5612">
      <w:pPr>
        <w:tabs>
          <w:tab w:val="left" w:pos="-720"/>
        </w:tabs>
        <w:jc w:val="both"/>
        <w:rPr>
          <w:strike/>
        </w:rPr>
      </w:pPr>
      <w:r w:rsidRPr="007A1B66">
        <w:rPr>
          <w:strike/>
        </w:rPr>
        <w:tab/>
        <w:t>(e)  Improperly created credits.</w:t>
      </w:r>
    </w:p>
    <w:p w14:paraId="1A25CCD3"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No party may transfer any credits to the extent such a transfer would result in the transferor having a negative credit balance at the conclusion of the averaging period for which the credits were transferred.  Any credits transferred in violation of this paragraph are improperly created credits.</w:t>
      </w:r>
    </w:p>
    <w:p w14:paraId="372F8B20" w14:textId="77777777" w:rsidR="00CA5612" w:rsidRPr="007A1B66" w:rsidRDefault="00CA5612" w:rsidP="00CA5612">
      <w:pPr>
        <w:tabs>
          <w:tab w:val="left" w:pos="-720"/>
        </w:tabs>
        <w:jc w:val="both"/>
        <w:rPr>
          <w:strike/>
        </w:rPr>
      </w:pPr>
      <w:r w:rsidRPr="007A1B66">
        <w:rPr>
          <w:strike/>
        </w:rPr>
        <w:tab/>
        <w:t>(ii)  Improperly created credits may not be used, regardless of a credit transferee's good faith belief that the transferee was receiving valid credits.</w:t>
      </w:r>
    </w:p>
    <w:p w14:paraId="35F9279D" w14:textId="77777777" w:rsidR="00CA5612" w:rsidRPr="007A1B66" w:rsidRDefault="00CA5612" w:rsidP="00CA5612">
      <w:pPr>
        <w:tabs>
          <w:tab w:val="left" w:pos="-720"/>
        </w:tabs>
        <w:jc w:val="both"/>
        <w:rPr>
          <w:strike/>
        </w:rPr>
      </w:pPr>
      <w:r w:rsidRPr="007A1B66">
        <w:rPr>
          <w:strike/>
        </w:rPr>
        <w:tab/>
        <w:t>(3)  Compliance calculation on a per gallon basis.  Each gallon of gasoline sold or dispensed by a CAR or blender CAR for use within each control area during the averaging period as defined in R307-301-1 shall have an oxygen content of at least the average oxygen content standard specified in R307-301-3(1).  The maximum oxygen content which may be used to calculate compliance is the average oxygen content standard specified in R307-301-3.  In addition, the CAR or blender CAR is prohibited from selling, trading or providing oxygen credits based on gasoline for which compliance is calculated under this alternative per-gallon method.</w:t>
      </w:r>
    </w:p>
    <w:p w14:paraId="32717579" w14:textId="77777777" w:rsidR="00CA5612" w:rsidRPr="007A1B66" w:rsidRDefault="00CA5612" w:rsidP="00CA5612">
      <w:pPr>
        <w:tabs>
          <w:tab w:val="left" w:pos="-720"/>
        </w:tabs>
        <w:jc w:val="both"/>
        <w:rPr>
          <w:strike/>
        </w:rPr>
      </w:pPr>
    </w:p>
    <w:p w14:paraId="45B468B7" w14:textId="77777777" w:rsidR="00CA5612" w:rsidRPr="007A1B66" w:rsidRDefault="00CA5612" w:rsidP="00CA5612">
      <w:pPr>
        <w:tabs>
          <w:tab w:val="left" w:pos="-720"/>
        </w:tabs>
        <w:jc w:val="both"/>
        <w:rPr>
          <w:strike/>
        </w:rPr>
      </w:pPr>
      <w:r w:rsidRPr="007A1B66">
        <w:rPr>
          <w:b/>
          <w:strike/>
        </w:rPr>
        <w:t>R307-301-6.  Minimum Oxygen Content.</w:t>
      </w:r>
    </w:p>
    <w:p w14:paraId="35221271" w14:textId="77777777" w:rsidR="00CA5612" w:rsidRPr="007A1B66" w:rsidRDefault="00CA5612" w:rsidP="00CA5612">
      <w:pPr>
        <w:tabs>
          <w:tab w:val="left" w:pos="-720"/>
        </w:tabs>
        <w:jc w:val="both"/>
        <w:rPr>
          <w:strike/>
        </w:rPr>
      </w:pPr>
      <w:r w:rsidRPr="007A1B66">
        <w:rPr>
          <w:strike/>
        </w:rPr>
        <w:tab/>
        <w:t>(1)  Any gasoline which is sold or dispensed by a CAR, blender CAR, carrier, distributor, or reseller for use within a control area, as defined in R307-301-1, during the control period, shall contain not less than 2.0% oxygen by weight, or 2.6% oxygen by weight if the average oxygen content standard is 3.1%, unless it is sold or dispensed to another registered CAR or blender CAR.  This requirement shall begin five working days, as defined in R307-301-1, before the applicable control period and shall apply until the end of that period.</w:t>
      </w:r>
    </w:p>
    <w:p w14:paraId="772A4A58" w14:textId="77777777" w:rsidR="00CA5612" w:rsidRPr="007A1B66" w:rsidRDefault="00CA5612" w:rsidP="00CA5612">
      <w:pPr>
        <w:tabs>
          <w:tab w:val="left" w:pos="-720"/>
        </w:tabs>
        <w:jc w:val="both"/>
        <w:rPr>
          <w:strike/>
        </w:rPr>
      </w:pPr>
      <w:r w:rsidRPr="007A1B66">
        <w:rPr>
          <w:strike/>
        </w:rPr>
        <w:tab/>
        <w:t>(2)  This requirement shall apply to all parties downstream of the CAR or blender CAR unless the gasoline will be sold or dispensed to another CAR or blender CAR.  Any gasoline which is offered for sale, sold or dispensed to an ultimate consumer within a control area during a control period, as defined in R307-301-1, shall not contain less than 2.0% oxygen by weight, or 2.6% oxygen by weight if the average oxygen content standard is 3.1%.  This requirement shall apply during the entire applicable control period.</w:t>
      </w:r>
    </w:p>
    <w:p w14:paraId="2C73153F" w14:textId="77777777" w:rsidR="00CA5612" w:rsidRPr="007A1B66" w:rsidRDefault="00CA5612" w:rsidP="00CA5612">
      <w:pPr>
        <w:tabs>
          <w:tab w:val="left" w:pos="-720"/>
        </w:tabs>
        <w:jc w:val="both"/>
        <w:rPr>
          <w:strike/>
        </w:rPr>
      </w:pPr>
      <w:r w:rsidRPr="007A1B66">
        <w:rPr>
          <w:strike/>
        </w:rPr>
        <w:tab/>
        <w:t>(3)  Every refiner must determine the oxygen content of all gasoline produced by use of the methodologies described in R307-301-4.  This determination shall include the oxygen content by weight percent, each type of oxygenate, and percent oxygenate by volume for each type of oxygenate.</w:t>
      </w:r>
    </w:p>
    <w:p w14:paraId="5602CE5A" w14:textId="77777777" w:rsidR="00CA5612" w:rsidRPr="007A1B66" w:rsidRDefault="00CA5612" w:rsidP="00CA5612">
      <w:pPr>
        <w:tabs>
          <w:tab w:val="left" w:pos="-720"/>
        </w:tabs>
        <w:jc w:val="both"/>
        <w:rPr>
          <w:strike/>
        </w:rPr>
      </w:pPr>
      <w:r w:rsidRPr="007A1B66">
        <w:rPr>
          <w:strike/>
        </w:rPr>
        <w:tab/>
        <w:t>(4)  Any gasoline sold or dispensed by a CAR or blender CAR for use within a control area and for which compliance is demonstrated using the method specified in (3) shall contain not less than the average oxygen content standard specified in R307-301-3(1), unless the gasoline is sold or dispensed to another registered CAR or blender CAR.</w:t>
      </w:r>
    </w:p>
    <w:p w14:paraId="44B342F0" w14:textId="77777777" w:rsidR="00CA5612" w:rsidRPr="007A1B66" w:rsidRDefault="00CA5612" w:rsidP="00CA5612">
      <w:pPr>
        <w:tabs>
          <w:tab w:val="left" w:pos="-720"/>
        </w:tabs>
        <w:jc w:val="both"/>
        <w:rPr>
          <w:strike/>
        </w:rPr>
      </w:pPr>
    </w:p>
    <w:p w14:paraId="2C1BCEC6" w14:textId="77777777" w:rsidR="00CA5612" w:rsidRPr="007A1B66" w:rsidRDefault="00CA5612" w:rsidP="00CA5612">
      <w:pPr>
        <w:tabs>
          <w:tab w:val="left" w:pos="-720"/>
        </w:tabs>
        <w:jc w:val="both"/>
        <w:rPr>
          <w:strike/>
        </w:rPr>
      </w:pPr>
      <w:r w:rsidRPr="007A1B66">
        <w:rPr>
          <w:b/>
          <w:strike/>
        </w:rPr>
        <w:t>R307-301-7.  Registration.</w:t>
      </w:r>
    </w:p>
    <w:p w14:paraId="41D856C0" w14:textId="77777777" w:rsidR="00CA5612" w:rsidRPr="007A1B66" w:rsidRDefault="00CA5612" w:rsidP="00CA5612">
      <w:pPr>
        <w:tabs>
          <w:tab w:val="left" w:pos="-720"/>
        </w:tabs>
        <w:jc w:val="both"/>
        <w:rPr>
          <w:strike/>
        </w:rPr>
      </w:pPr>
      <w:r w:rsidRPr="007A1B66">
        <w:rPr>
          <w:strike/>
        </w:rPr>
        <w:tab/>
        <w:t>(1)  All persons who sell or dispense gasoline directly or indirectly to persons who sell or dispense to ultimate consumers in a control area during a control period, including CARs, blender CARs, carriers, resellers, and distributors, shall petition the director for registration not less than one calendar month in advance of such sales or transfers of gasoline into the control area during the control period.</w:t>
      </w:r>
    </w:p>
    <w:p w14:paraId="2384CEE8" w14:textId="77777777" w:rsidR="00CA5612" w:rsidRPr="007A1B66" w:rsidRDefault="00CA5612" w:rsidP="00CA5612">
      <w:pPr>
        <w:tabs>
          <w:tab w:val="left" w:pos="-720"/>
        </w:tabs>
        <w:jc w:val="both"/>
        <w:rPr>
          <w:strike/>
        </w:rPr>
      </w:pPr>
      <w:r w:rsidRPr="007A1B66">
        <w:rPr>
          <w:strike/>
        </w:rPr>
        <w:tab/>
        <w:t>(2)  This petition for registration shall be on forms prescribed by the director and shall include the following information:</w:t>
      </w:r>
    </w:p>
    <w:p w14:paraId="390254E0" w14:textId="77777777" w:rsidR="00CA5612" w:rsidRPr="007A1B66" w:rsidRDefault="00CA5612" w:rsidP="00CA5612">
      <w:pPr>
        <w:tabs>
          <w:tab w:val="left" w:pos="-720"/>
        </w:tabs>
        <w:jc w:val="both"/>
        <w:rPr>
          <w:strike/>
        </w:rPr>
      </w:pPr>
      <w:r w:rsidRPr="007A1B66">
        <w:rPr>
          <w:strike/>
        </w:rPr>
        <w:tab/>
        <w:t>(a)  the name and business address of the CAR, blender CAR, carrier, reseller, or distributor;</w:t>
      </w:r>
    </w:p>
    <w:p w14:paraId="297EF0DD" w14:textId="77777777" w:rsidR="00CA5612" w:rsidRPr="007A1B66" w:rsidRDefault="00CA5612" w:rsidP="00CA5612">
      <w:pPr>
        <w:tabs>
          <w:tab w:val="left" w:pos="-720"/>
        </w:tabs>
        <w:jc w:val="both"/>
        <w:rPr>
          <w:strike/>
        </w:rPr>
      </w:pPr>
      <w:r w:rsidRPr="007A1B66">
        <w:rPr>
          <w:strike/>
        </w:rPr>
        <w:tab/>
        <w:t>(b)  in the case of a CAR, the address and physical location of each of the control area terminals from which the CAR operates;</w:t>
      </w:r>
    </w:p>
    <w:p w14:paraId="05EB1FD0" w14:textId="77777777" w:rsidR="00CA5612" w:rsidRPr="007A1B66" w:rsidRDefault="00CA5612" w:rsidP="00CA5612">
      <w:pPr>
        <w:tabs>
          <w:tab w:val="left" w:pos="-720"/>
        </w:tabs>
        <w:jc w:val="both"/>
        <w:rPr>
          <w:strike/>
        </w:rPr>
      </w:pPr>
      <w:r w:rsidRPr="007A1B66">
        <w:rPr>
          <w:strike/>
        </w:rPr>
        <w:tab/>
        <w:t>(c)  in the case of a blender CAR, the address and physical location of each control area oxygenate blending installation which is owned, leased, operated, or controlled, or supervised by a blender CAR;</w:t>
      </w:r>
    </w:p>
    <w:p w14:paraId="283013A7" w14:textId="77777777" w:rsidR="00CA5612" w:rsidRPr="007A1B66" w:rsidRDefault="00CA5612" w:rsidP="00CA5612">
      <w:pPr>
        <w:tabs>
          <w:tab w:val="left" w:pos="-720"/>
        </w:tabs>
        <w:jc w:val="both"/>
        <w:rPr>
          <w:strike/>
        </w:rPr>
      </w:pPr>
      <w:r w:rsidRPr="007A1B66">
        <w:rPr>
          <w:strike/>
        </w:rPr>
        <w:tab/>
        <w:t>(d)  in the case of a carrier, distributor, or reseller, the names and addresses of retailers they supply;</w:t>
      </w:r>
    </w:p>
    <w:p w14:paraId="576EC422" w14:textId="77777777" w:rsidR="00CA5612" w:rsidRPr="007A1B66" w:rsidRDefault="00CA5612" w:rsidP="00CA5612">
      <w:pPr>
        <w:tabs>
          <w:tab w:val="left" w:pos="-720"/>
        </w:tabs>
        <w:jc w:val="both"/>
        <w:rPr>
          <w:strike/>
        </w:rPr>
      </w:pPr>
      <w:r w:rsidRPr="007A1B66">
        <w:rPr>
          <w:strike/>
        </w:rPr>
        <w:tab/>
        <w:t>(e)  the address and physical location where documents which are required to be retained by R307-301 shall be kept; and</w:t>
      </w:r>
    </w:p>
    <w:p w14:paraId="4F673DB8" w14:textId="77777777" w:rsidR="00CA5612" w:rsidRPr="007A1B66" w:rsidRDefault="00CA5612" w:rsidP="00CA5612">
      <w:pPr>
        <w:tabs>
          <w:tab w:val="left" w:pos="-720"/>
        </w:tabs>
        <w:jc w:val="both"/>
        <w:rPr>
          <w:strike/>
        </w:rPr>
      </w:pPr>
      <w:r w:rsidRPr="007A1B66">
        <w:rPr>
          <w:strike/>
        </w:rPr>
        <w:tab/>
        <w:t>(f)  in the case of a CAR or blender CAR, the compliance option chosen under provisions of R307-301-5 and a list of oxygenates which will be used.</w:t>
      </w:r>
    </w:p>
    <w:p w14:paraId="46B78EDD" w14:textId="77777777" w:rsidR="00CA5612" w:rsidRPr="007A1B66" w:rsidRDefault="00CA5612" w:rsidP="00CA5612">
      <w:pPr>
        <w:tabs>
          <w:tab w:val="left" w:pos="-720"/>
        </w:tabs>
        <w:jc w:val="both"/>
        <w:rPr>
          <w:strike/>
        </w:rPr>
      </w:pPr>
      <w:r w:rsidRPr="007A1B66">
        <w:rPr>
          <w:strike/>
        </w:rPr>
        <w:tab/>
        <w:t>(3)  If the registration information previously supplied by a registered party under the provisions of (2)(a) through (e) becomes incomplete or inaccurate, that party shall submit updated registration information to the director within 15 working days as defined in R307-301-1.  If the information required under (2)(f) is to change, the updated registration information must be submitted to the director before the change is made.</w:t>
      </w:r>
    </w:p>
    <w:p w14:paraId="0AF09805" w14:textId="77777777" w:rsidR="00CA5612" w:rsidRPr="007A1B66" w:rsidRDefault="00CA5612" w:rsidP="00CA5612">
      <w:pPr>
        <w:tabs>
          <w:tab w:val="left" w:pos="-720"/>
        </w:tabs>
        <w:jc w:val="both"/>
        <w:rPr>
          <w:strike/>
        </w:rPr>
      </w:pPr>
      <w:r w:rsidRPr="007A1B66">
        <w:rPr>
          <w:strike/>
        </w:rPr>
        <w:tab/>
        <w:t>(4)  No person shall participate in the oxygenated gasoline program as a CAR, blender CAR, carrier, reseller, or distributor until such person has been notified by the director that such person has been registered as a CAR, blender CAR, carrier, reseller, or distributor.  Registration shall be valid for the time period specified by the director. The director shall issue each CAR, blender CAR, carrier, reseller, or distributor a unique identification number within one calendar month of the petition for registration.</w:t>
      </w:r>
    </w:p>
    <w:p w14:paraId="4B04A23A" w14:textId="77777777" w:rsidR="00CA5612" w:rsidRPr="007A1B66" w:rsidRDefault="00CA5612" w:rsidP="00CA5612">
      <w:pPr>
        <w:tabs>
          <w:tab w:val="left" w:pos="-720"/>
        </w:tabs>
        <w:jc w:val="both"/>
        <w:rPr>
          <w:strike/>
        </w:rPr>
      </w:pPr>
    </w:p>
    <w:p w14:paraId="0BD05D92" w14:textId="77777777" w:rsidR="00CA5612" w:rsidRPr="007A1B66" w:rsidRDefault="00CA5612" w:rsidP="00CA5612">
      <w:pPr>
        <w:tabs>
          <w:tab w:val="left" w:pos="-720"/>
        </w:tabs>
        <w:jc w:val="both"/>
        <w:rPr>
          <w:strike/>
        </w:rPr>
      </w:pPr>
      <w:r w:rsidRPr="007A1B66">
        <w:rPr>
          <w:b/>
          <w:strike/>
        </w:rPr>
        <w:t>R307-301-8.  Recordkeeping.</w:t>
      </w:r>
    </w:p>
    <w:p w14:paraId="53A25CFD" w14:textId="77777777" w:rsidR="00CA5612" w:rsidRPr="007A1B66" w:rsidRDefault="00CA5612" w:rsidP="00CA5612">
      <w:pPr>
        <w:tabs>
          <w:tab w:val="left" w:pos="-720"/>
        </w:tabs>
        <w:jc w:val="both"/>
        <w:rPr>
          <w:strike/>
        </w:rPr>
      </w:pPr>
      <w:r w:rsidRPr="007A1B66">
        <w:rPr>
          <w:strike/>
        </w:rPr>
        <w:tab/>
        <w:t>(1)  Records.  All parties in the gasoline distribution network, as described below, shall maintain records containing compliance information enumerated or described below.  These records shall be retained by the regulated parties for a period of two years after the end of each control period for which the information is required.</w:t>
      </w:r>
    </w:p>
    <w:p w14:paraId="16D64388" w14:textId="77777777" w:rsidR="00CA5612" w:rsidRPr="007A1B66" w:rsidRDefault="00CA5612" w:rsidP="00CA5612">
      <w:pPr>
        <w:tabs>
          <w:tab w:val="left" w:pos="-720"/>
        </w:tabs>
        <w:jc w:val="both"/>
        <w:rPr>
          <w:strike/>
        </w:rPr>
      </w:pPr>
      <w:r w:rsidRPr="007A1B66">
        <w:rPr>
          <w:strike/>
        </w:rPr>
        <w:tab/>
        <w:t>(a)  Refiners.  Refiners shall, for each separate quantity of gasoline produced or imported for use in a control area during a control period, maintain records containing the following information:</w:t>
      </w:r>
    </w:p>
    <w:p w14:paraId="34E98848"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results of the tests utilized to determine the types of oxygenates and percent by volume;</w:t>
      </w:r>
    </w:p>
    <w:p w14:paraId="7E1DFDC1" w14:textId="77777777" w:rsidR="00CA5612" w:rsidRPr="007A1B66" w:rsidRDefault="00CA5612" w:rsidP="00CA5612">
      <w:pPr>
        <w:tabs>
          <w:tab w:val="left" w:pos="-720"/>
        </w:tabs>
        <w:jc w:val="both"/>
        <w:rPr>
          <w:strike/>
        </w:rPr>
      </w:pPr>
      <w:r w:rsidRPr="007A1B66">
        <w:rPr>
          <w:strike/>
        </w:rPr>
        <w:tab/>
        <w:t>(ii)  percent oxygenate content by volume of each oxygenate;</w:t>
      </w:r>
    </w:p>
    <w:p w14:paraId="5F9CDFE1" w14:textId="77777777" w:rsidR="00CA5612" w:rsidRPr="007A1B66" w:rsidRDefault="00CA5612" w:rsidP="00CA5612">
      <w:pPr>
        <w:tabs>
          <w:tab w:val="left" w:pos="-720"/>
        </w:tabs>
        <w:jc w:val="both"/>
        <w:rPr>
          <w:strike/>
        </w:rPr>
      </w:pPr>
      <w:r w:rsidRPr="007A1B66">
        <w:rPr>
          <w:strike/>
        </w:rPr>
        <w:tab/>
        <w:t>(iii)  oxygen content by weight percent;</w:t>
      </w:r>
    </w:p>
    <w:p w14:paraId="2045A3DD" w14:textId="77777777" w:rsidR="00CA5612" w:rsidRPr="007A1B66" w:rsidRDefault="00CA5612" w:rsidP="00CA5612">
      <w:pPr>
        <w:tabs>
          <w:tab w:val="left" w:pos="-720"/>
        </w:tabs>
        <w:jc w:val="both"/>
        <w:rPr>
          <w:strike/>
        </w:rPr>
      </w:pPr>
      <w:r w:rsidRPr="007A1B66">
        <w:rPr>
          <w:strike/>
        </w:rPr>
        <w:tab/>
        <w:t>(iv)  purity of each oxygenate;</w:t>
      </w:r>
    </w:p>
    <w:p w14:paraId="2AAC290E" w14:textId="77777777" w:rsidR="00CA5612" w:rsidRPr="007A1B66" w:rsidRDefault="00CA5612" w:rsidP="00CA5612">
      <w:pPr>
        <w:tabs>
          <w:tab w:val="left" w:pos="-720"/>
        </w:tabs>
        <w:jc w:val="both"/>
        <w:rPr>
          <w:strike/>
        </w:rPr>
      </w:pPr>
      <w:r w:rsidRPr="007A1B66">
        <w:rPr>
          <w:strike/>
        </w:rPr>
        <w:tab/>
        <w:t>(v)  total volume of gasoline; and</w:t>
      </w:r>
    </w:p>
    <w:p w14:paraId="29AFDAC6" w14:textId="77777777" w:rsidR="00CA5612" w:rsidRPr="007A1B66" w:rsidRDefault="00CA5612" w:rsidP="00CA5612">
      <w:pPr>
        <w:tabs>
          <w:tab w:val="left" w:pos="-720"/>
        </w:tabs>
        <w:jc w:val="both"/>
        <w:rPr>
          <w:strike/>
        </w:rPr>
      </w:pPr>
      <w:r w:rsidRPr="007A1B66">
        <w:rPr>
          <w:strike/>
        </w:rPr>
        <w:tab/>
        <w:t>(vi)  the name and address of the party to whom each separate quantity of oxygenated gasoline was sold or transferred.</w:t>
      </w:r>
    </w:p>
    <w:p w14:paraId="5A68ABDB" w14:textId="77777777" w:rsidR="00CA5612" w:rsidRPr="007A1B66" w:rsidRDefault="00CA5612" w:rsidP="00CA5612">
      <w:pPr>
        <w:tabs>
          <w:tab w:val="left" w:pos="-720"/>
        </w:tabs>
        <w:jc w:val="both"/>
        <w:rPr>
          <w:strike/>
        </w:rPr>
      </w:pPr>
      <w:r w:rsidRPr="007A1B66">
        <w:rPr>
          <w:strike/>
        </w:rPr>
        <w:tab/>
        <w:t>(b)  Control area terminal operators.  Persons who own, lease, operate or control gasoline terminals which serve control areas, or any truck- or terminal-lessee who subleases any portion of a leased tank or terminal to other persons, shall maintain a copy of the transfer document for each batch or truckload of gasoline received, purchased, sold or dispensed, and shall maintain records containing the following information:</w:t>
      </w:r>
    </w:p>
    <w:p w14:paraId="7C95C6CC"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owner of each batch of gasoline handled by each regulated installation if known, or the storage customer of record;</w:t>
      </w:r>
    </w:p>
    <w:p w14:paraId="18F882F0" w14:textId="77777777" w:rsidR="00CA5612" w:rsidRPr="007A1B66" w:rsidRDefault="00CA5612" w:rsidP="00CA5612">
      <w:pPr>
        <w:tabs>
          <w:tab w:val="left" w:pos="-720"/>
        </w:tabs>
        <w:jc w:val="both"/>
        <w:rPr>
          <w:strike/>
        </w:rPr>
      </w:pPr>
      <w:r w:rsidRPr="007A1B66">
        <w:rPr>
          <w:strike/>
        </w:rPr>
        <w:tab/>
        <w:t>(ii)  volume of each batch or truckload of gasoline going into or out of the terminal;</w:t>
      </w:r>
    </w:p>
    <w:p w14:paraId="10C3EA5C" w14:textId="77777777" w:rsidR="00CA5612" w:rsidRPr="007A1B66" w:rsidRDefault="00CA5612" w:rsidP="00CA5612">
      <w:pPr>
        <w:tabs>
          <w:tab w:val="left" w:pos="-720"/>
        </w:tabs>
        <w:jc w:val="both"/>
        <w:rPr>
          <w:strike/>
        </w:rPr>
      </w:pPr>
      <w:r w:rsidRPr="007A1B66">
        <w:rPr>
          <w:strike/>
        </w:rPr>
        <w:tab/>
        <w:t>(iii)  for all batches or truckloads of gasoline leaving the terminal, the RWOC of the batch or truckload;</w:t>
      </w:r>
    </w:p>
    <w:p w14:paraId="4702959A" w14:textId="77777777" w:rsidR="00CA5612" w:rsidRPr="007A1B66" w:rsidRDefault="00CA5612" w:rsidP="00CA5612">
      <w:pPr>
        <w:tabs>
          <w:tab w:val="left" w:pos="-720"/>
        </w:tabs>
        <w:jc w:val="both"/>
        <w:rPr>
          <w:strike/>
        </w:rPr>
      </w:pPr>
      <w:r w:rsidRPr="007A1B66">
        <w:rPr>
          <w:strike/>
        </w:rPr>
        <w:tab/>
        <w:t>(iv)  for each oxygenate, the type of oxygenate, purity if available, and percent oxygenate by volume;</w:t>
      </w:r>
    </w:p>
    <w:p w14:paraId="4932080A" w14:textId="77777777" w:rsidR="00CA5612" w:rsidRPr="007A1B66" w:rsidRDefault="00CA5612" w:rsidP="00CA5612">
      <w:pPr>
        <w:tabs>
          <w:tab w:val="left" w:pos="-720"/>
        </w:tabs>
        <w:jc w:val="both"/>
        <w:rPr>
          <w:strike/>
        </w:rPr>
      </w:pPr>
      <w:r w:rsidRPr="007A1B66">
        <w:rPr>
          <w:strike/>
        </w:rPr>
        <w:tab/>
        <w:t>(v)  oxygen content by weight percent of all batches or truckloads received at the terminal;</w:t>
      </w:r>
    </w:p>
    <w:p w14:paraId="1F6B5255" w14:textId="77777777" w:rsidR="00CA5612" w:rsidRPr="007A1B66" w:rsidRDefault="00CA5612" w:rsidP="00CA5612">
      <w:pPr>
        <w:tabs>
          <w:tab w:val="left" w:pos="-720"/>
        </w:tabs>
        <w:jc w:val="both"/>
        <w:rPr>
          <w:strike/>
        </w:rPr>
      </w:pPr>
      <w:r w:rsidRPr="007A1B66">
        <w:rPr>
          <w:strike/>
        </w:rPr>
        <w:tab/>
        <w:t>(vi)  destination county of each tank truck sale or batch of gasoline as declared by the purchaser of the gasoline, if the destination is within Utah or Weber County;</w:t>
      </w:r>
    </w:p>
    <w:p w14:paraId="73425387" w14:textId="77777777" w:rsidR="00CA5612" w:rsidRPr="007A1B66" w:rsidRDefault="00CA5612" w:rsidP="00CA5612">
      <w:pPr>
        <w:tabs>
          <w:tab w:val="left" w:pos="-720"/>
        </w:tabs>
        <w:jc w:val="both"/>
        <w:rPr>
          <w:strike/>
        </w:rPr>
      </w:pPr>
      <w:r w:rsidRPr="007A1B66">
        <w:rPr>
          <w:strike/>
        </w:rPr>
        <w:tab/>
        <w:t>(vii)  the name and address of the party to whom the gasoline was sold or transferred and the date of the sale or transfer, and</w:t>
      </w:r>
    </w:p>
    <w:p w14:paraId="528B5B47" w14:textId="77777777" w:rsidR="00CA5612" w:rsidRPr="007A1B66" w:rsidRDefault="00CA5612" w:rsidP="00CA5612">
      <w:pPr>
        <w:tabs>
          <w:tab w:val="left" w:pos="-720"/>
        </w:tabs>
        <w:jc w:val="both"/>
        <w:rPr>
          <w:strike/>
        </w:rPr>
      </w:pPr>
      <w:r w:rsidRPr="007A1B66">
        <w:rPr>
          <w:strike/>
        </w:rPr>
        <w:tab/>
        <w:t>(viii)  the results of the tests for oxygenates, if performed, of each sale or transfer, and who performed the tests.</w:t>
      </w:r>
    </w:p>
    <w:p w14:paraId="473988BC" w14:textId="77777777" w:rsidR="00CA5612" w:rsidRPr="007A1B66" w:rsidRDefault="00CA5612" w:rsidP="00CA5612">
      <w:pPr>
        <w:tabs>
          <w:tab w:val="left" w:pos="-720"/>
        </w:tabs>
        <w:jc w:val="both"/>
        <w:rPr>
          <w:strike/>
        </w:rPr>
      </w:pPr>
      <w:r w:rsidRPr="007A1B66">
        <w:rPr>
          <w:strike/>
        </w:rPr>
        <w:tab/>
        <w:t>(c)  CARs and blender CARs.  Each CAR must maintain records containing the information listed in (b) above.  Each CAR and blender CAR must maintain a copy of the transfer document for each shipment of gasoline received, purchased, sold or dispensed, as well as the records containing the following information:</w:t>
      </w:r>
    </w:p>
    <w:p w14:paraId="053F7B41"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CAR or blender CAR identification number;</w:t>
      </w:r>
    </w:p>
    <w:p w14:paraId="6F680FC1" w14:textId="77777777" w:rsidR="00CA5612" w:rsidRPr="007A1B66" w:rsidRDefault="00CA5612" w:rsidP="00CA5612">
      <w:pPr>
        <w:tabs>
          <w:tab w:val="left" w:pos="-720"/>
        </w:tabs>
        <w:jc w:val="both"/>
        <w:rPr>
          <w:strike/>
        </w:rPr>
      </w:pPr>
      <w:r w:rsidRPr="007A1B66">
        <w:rPr>
          <w:strike/>
        </w:rPr>
        <w:tab/>
        <w:t>(ii)  the name and address of the person from whom each shipment of gasoline was received, and the date when it was received;</w:t>
      </w:r>
    </w:p>
    <w:p w14:paraId="06314039" w14:textId="77777777" w:rsidR="00CA5612" w:rsidRPr="007A1B66" w:rsidRDefault="00CA5612" w:rsidP="00CA5612">
      <w:pPr>
        <w:tabs>
          <w:tab w:val="left" w:pos="-720"/>
        </w:tabs>
        <w:jc w:val="both"/>
        <w:rPr>
          <w:strike/>
        </w:rPr>
      </w:pPr>
      <w:r w:rsidRPr="007A1B66">
        <w:rPr>
          <w:strike/>
        </w:rPr>
        <w:tab/>
        <w:t>(iii)  data on each shipment of gasoline received, including:</w:t>
      </w:r>
    </w:p>
    <w:p w14:paraId="2A798DC5" w14:textId="77777777" w:rsidR="00CA5612" w:rsidRPr="007A1B66" w:rsidRDefault="00CA5612" w:rsidP="00CA5612">
      <w:pPr>
        <w:tabs>
          <w:tab w:val="left" w:pos="-720"/>
        </w:tabs>
        <w:jc w:val="both"/>
        <w:rPr>
          <w:strike/>
        </w:rPr>
      </w:pPr>
      <w:r w:rsidRPr="007A1B66">
        <w:rPr>
          <w:strike/>
        </w:rPr>
        <w:tab/>
        <w:t>(A)  the volume of each shipment;</w:t>
      </w:r>
    </w:p>
    <w:p w14:paraId="144087D9" w14:textId="77777777" w:rsidR="00CA5612" w:rsidRPr="007A1B66" w:rsidRDefault="00CA5612" w:rsidP="00CA5612">
      <w:pPr>
        <w:tabs>
          <w:tab w:val="left" w:pos="-720"/>
        </w:tabs>
        <w:jc w:val="both"/>
        <w:rPr>
          <w:strike/>
        </w:rPr>
      </w:pPr>
      <w:r w:rsidRPr="007A1B66">
        <w:rPr>
          <w:strike/>
        </w:rPr>
        <w:tab/>
        <w:t>(B)  type of oxygenate or oxygenates, and percentage by volume; and</w:t>
      </w:r>
    </w:p>
    <w:p w14:paraId="0AA85C0A" w14:textId="77777777" w:rsidR="00CA5612" w:rsidRPr="007A1B66" w:rsidRDefault="00CA5612" w:rsidP="00CA5612">
      <w:pPr>
        <w:tabs>
          <w:tab w:val="left" w:pos="-720"/>
        </w:tabs>
        <w:jc w:val="both"/>
        <w:rPr>
          <w:strike/>
        </w:rPr>
      </w:pPr>
      <w:r w:rsidRPr="007A1B66">
        <w:rPr>
          <w:strike/>
        </w:rPr>
        <w:tab/>
        <w:t>(C)  oxygen content by weight percent;</w:t>
      </w:r>
    </w:p>
    <w:p w14:paraId="77DF94B1" w14:textId="77777777" w:rsidR="00CA5612" w:rsidRPr="007A1B66" w:rsidRDefault="00CA5612" w:rsidP="00CA5612">
      <w:pPr>
        <w:tabs>
          <w:tab w:val="left" w:pos="-720"/>
        </w:tabs>
        <w:jc w:val="both"/>
        <w:rPr>
          <w:strike/>
        </w:rPr>
      </w:pPr>
      <w:r w:rsidRPr="007A1B66">
        <w:rPr>
          <w:strike/>
        </w:rPr>
        <w:tab/>
        <w:t>(iv)  the volume of each receipt of bulk oxygenates;</w:t>
      </w:r>
    </w:p>
    <w:p w14:paraId="575838D2" w14:textId="77777777" w:rsidR="00CA5612" w:rsidRPr="007A1B66" w:rsidRDefault="00CA5612" w:rsidP="00CA5612">
      <w:pPr>
        <w:tabs>
          <w:tab w:val="left" w:pos="-720"/>
        </w:tabs>
        <w:jc w:val="both"/>
        <w:rPr>
          <w:strike/>
        </w:rPr>
      </w:pPr>
      <w:r w:rsidRPr="007A1B66">
        <w:rPr>
          <w:strike/>
        </w:rPr>
        <w:tab/>
        <w:t>(v)  the name and address of the parties from whom bulk oxygenate was received;</w:t>
      </w:r>
    </w:p>
    <w:p w14:paraId="6E88A721" w14:textId="77777777" w:rsidR="00CA5612" w:rsidRPr="007A1B66" w:rsidRDefault="00CA5612" w:rsidP="00CA5612">
      <w:pPr>
        <w:tabs>
          <w:tab w:val="left" w:pos="-720"/>
        </w:tabs>
        <w:jc w:val="both"/>
        <w:rPr>
          <w:strike/>
        </w:rPr>
      </w:pPr>
      <w:r w:rsidRPr="007A1B66">
        <w:rPr>
          <w:strike/>
        </w:rPr>
        <w:tab/>
        <w:t>(vi)  the date and destination county of each sale of gasoline, if the destination is within Utah or Weber County;</w:t>
      </w:r>
    </w:p>
    <w:p w14:paraId="0B808AD6" w14:textId="77777777" w:rsidR="00CA5612" w:rsidRPr="007A1B66" w:rsidRDefault="00CA5612" w:rsidP="00CA5612">
      <w:pPr>
        <w:tabs>
          <w:tab w:val="left" w:pos="-720"/>
        </w:tabs>
        <w:jc w:val="both"/>
        <w:rPr>
          <w:strike/>
        </w:rPr>
      </w:pPr>
      <w:r w:rsidRPr="007A1B66">
        <w:rPr>
          <w:strike/>
        </w:rPr>
        <w:tab/>
        <w:t>(vii)  data on each shipment of gasoline sold or dispensed including:</w:t>
      </w:r>
    </w:p>
    <w:p w14:paraId="5D5AF24E" w14:textId="77777777" w:rsidR="00CA5612" w:rsidRPr="007A1B66" w:rsidRDefault="00CA5612" w:rsidP="00CA5612">
      <w:pPr>
        <w:tabs>
          <w:tab w:val="left" w:pos="-720"/>
        </w:tabs>
        <w:jc w:val="both"/>
        <w:rPr>
          <w:strike/>
        </w:rPr>
      </w:pPr>
      <w:r w:rsidRPr="007A1B66">
        <w:rPr>
          <w:strike/>
        </w:rPr>
        <w:tab/>
        <w:t>(A)  the volume of each shipment;</w:t>
      </w:r>
    </w:p>
    <w:p w14:paraId="050E8DE1" w14:textId="77777777" w:rsidR="00CA5612" w:rsidRPr="007A1B66" w:rsidRDefault="00CA5612" w:rsidP="00CA5612">
      <w:pPr>
        <w:tabs>
          <w:tab w:val="left" w:pos="-720"/>
        </w:tabs>
        <w:jc w:val="both"/>
        <w:rPr>
          <w:strike/>
        </w:rPr>
      </w:pPr>
      <w:r w:rsidRPr="007A1B66">
        <w:rPr>
          <w:strike/>
        </w:rPr>
        <w:tab/>
        <w:t>(B)  type of each oxygenate, and percent by volume for each oxygenate, and</w:t>
      </w:r>
    </w:p>
    <w:p w14:paraId="1A65A7AA" w14:textId="77777777" w:rsidR="00CA5612" w:rsidRPr="007A1B66" w:rsidRDefault="00CA5612" w:rsidP="00CA5612">
      <w:pPr>
        <w:tabs>
          <w:tab w:val="left" w:pos="-720"/>
        </w:tabs>
        <w:jc w:val="both"/>
        <w:rPr>
          <w:strike/>
        </w:rPr>
      </w:pPr>
      <w:r w:rsidRPr="007A1B66">
        <w:rPr>
          <w:strike/>
        </w:rPr>
        <w:tab/>
        <w:t>(C)  oxygen content by weight percent;</w:t>
      </w:r>
    </w:p>
    <w:p w14:paraId="48DDDDB4" w14:textId="77777777" w:rsidR="00CA5612" w:rsidRPr="007A1B66" w:rsidRDefault="00CA5612" w:rsidP="00CA5612">
      <w:pPr>
        <w:tabs>
          <w:tab w:val="left" w:pos="-720"/>
        </w:tabs>
        <w:jc w:val="both"/>
        <w:rPr>
          <w:strike/>
        </w:rPr>
      </w:pPr>
      <w:r w:rsidRPr="007A1B66">
        <w:rPr>
          <w:strike/>
        </w:rPr>
        <w:tab/>
        <w:t>(viii)  documentation of the results of all tests done regarding the oxygen content of gasoline;</w:t>
      </w:r>
    </w:p>
    <w:p w14:paraId="028F1E08" w14:textId="77777777" w:rsidR="00CA5612" w:rsidRPr="007A1B66" w:rsidRDefault="00CA5612" w:rsidP="00CA5612">
      <w:pPr>
        <w:tabs>
          <w:tab w:val="left" w:pos="-720"/>
        </w:tabs>
        <w:jc w:val="both"/>
        <w:rPr>
          <w:strike/>
        </w:rPr>
      </w:pPr>
      <w:r w:rsidRPr="007A1B66">
        <w:rPr>
          <w:strike/>
        </w:rPr>
        <w:tab/>
        <w:t>(ix)  the names, addresses and CAR or blender CAR identification numbers of the parties to whom any gasoline was sold or dispensed, and the dates of these transactions; and</w:t>
      </w:r>
    </w:p>
    <w:p w14:paraId="477FD200" w14:textId="77777777" w:rsidR="00CA5612" w:rsidRPr="007A1B66" w:rsidRDefault="00CA5612" w:rsidP="00CA5612">
      <w:pPr>
        <w:tabs>
          <w:tab w:val="left" w:pos="-720"/>
        </w:tabs>
        <w:jc w:val="both"/>
        <w:rPr>
          <w:strike/>
        </w:rPr>
      </w:pPr>
      <w:r w:rsidRPr="007A1B66">
        <w:rPr>
          <w:strike/>
        </w:rPr>
        <w:tab/>
        <w:t>(x)  in the case of CARs or blender CARs that elect to comply with the average oxygen content standard specified in R307-301-3 by means of the compliance option specified in R307-301-5(2) must also maintain records containing the following information:</w:t>
      </w:r>
    </w:p>
    <w:p w14:paraId="0DA83394" w14:textId="77777777" w:rsidR="00CA5612" w:rsidRPr="007A1B66" w:rsidRDefault="00CA5612" w:rsidP="00CA5612">
      <w:pPr>
        <w:tabs>
          <w:tab w:val="left" w:pos="-720"/>
        </w:tabs>
        <w:jc w:val="both"/>
        <w:rPr>
          <w:strike/>
        </w:rPr>
      </w:pPr>
      <w:r w:rsidRPr="007A1B66">
        <w:rPr>
          <w:strike/>
        </w:rPr>
        <w:tab/>
        <w:t>(A)  records supporting and demonstrating compliance with the averaging standard specified in R307-301-3; and</w:t>
      </w:r>
    </w:p>
    <w:p w14:paraId="08CF7CA0" w14:textId="77777777" w:rsidR="00CA5612" w:rsidRPr="007A1B66" w:rsidRDefault="00CA5612" w:rsidP="00CA5612">
      <w:pPr>
        <w:tabs>
          <w:tab w:val="left" w:pos="-720"/>
        </w:tabs>
        <w:jc w:val="both"/>
        <w:rPr>
          <w:strike/>
        </w:rPr>
      </w:pPr>
      <w:r w:rsidRPr="007A1B66">
        <w:rPr>
          <w:strike/>
        </w:rPr>
        <w:tab/>
        <w:t>(B)  for any credits bought, sold, traded, or transferred, the dates of the transactions, the names, addresses and CAR or blender CAR identification numbers of the CARs and blender CARs involved in the individual transactions, and the amount of credits transferred.  Any credits transferred must be accompanied by a demonstration of how those credits were calculated.  Adequate documentation that both parties have agreed to all credit transfers within 30 working days, as defined in R307-301-1, following the close of the averaging period must be included.</w:t>
      </w:r>
    </w:p>
    <w:p w14:paraId="1AECC105" w14:textId="77777777" w:rsidR="00CA5612" w:rsidRPr="007A1B66" w:rsidRDefault="00CA5612" w:rsidP="00CA5612">
      <w:pPr>
        <w:tabs>
          <w:tab w:val="left" w:pos="-720"/>
        </w:tabs>
        <w:jc w:val="both"/>
        <w:rPr>
          <w:strike/>
        </w:rPr>
      </w:pPr>
      <w:r w:rsidRPr="007A1B66">
        <w:rPr>
          <w:strike/>
        </w:rPr>
        <w:tab/>
        <w:t>(d)  Retailers and wholesale purchaser-consumers within a control area must maintain the following records:</w:t>
      </w:r>
    </w:p>
    <w:p w14:paraId="07B5ADD1"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names, addresses and CAR, blender CAR, carrier, distributor, or reseller identification numbers of the parties from whom all shipments of gasoline were purchased or received, and the dates when they were received and for each shipment of gasoline bought, sold or transported:</w:t>
      </w:r>
    </w:p>
    <w:p w14:paraId="5FD9EBF6" w14:textId="77777777" w:rsidR="00CA5612" w:rsidRPr="007A1B66" w:rsidRDefault="00CA5612" w:rsidP="00CA5612">
      <w:pPr>
        <w:tabs>
          <w:tab w:val="left" w:pos="-720"/>
        </w:tabs>
        <w:jc w:val="both"/>
        <w:rPr>
          <w:strike/>
        </w:rPr>
      </w:pPr>
      <w:r w:rsidRPr="007A1B66">
        <w:rPr>
          <w:strike/>
        </w:rPr>
        <w:tab/>
        <w:t>(A)  the transfer document as specified in R307-301-8(3) and</w:t>
      </w:r>
    </w:p>
    <w:p w14:paraId="463E2FAF" w14:textId="77777777" w:rsidR="00CA5612" w:rsidRPr="007A1B66" w:rsidRDefault="00CA5612" w:rsidP="00CA5612">
      <w:pPr>
        <w:tabs>
          <w:tab w:val="left" w:pos="-720"/>
        </w:tabs>
        <w:jc w:val="both"/>
        <w:rPr>
          <w:strike/>
        </w:rPr>
      </w:pPr>
      <w:r w:rsidRPr="007A1B66">
        <w:rPr>
          <w:strike/>
        </w:rPr>
        <w:tab/>
        <w:t>(B)  a copy of each contract for delivery of oxygenated gasoline and</w:t>
      </w:r>
    </w:p>
    <w:p w14:paraId="5AB814F4" w14:textId="77777777" w:rsidR="00CA5612" w:rsidRPr="007A1B66" w:rsidRDefault="00CA5612" w:rsidP="00CA5612">
      <w:pPr>
        <w:tabs>
          <w:tab w:val="left" w:pos="-720"/>
        </w:tabs>
        <w:jc w:val="both"/>
        <w:rPr>
          <w:strike/>
        </w:rPr>
      </w:pPr>
      <w:r w:rsidRPr="007A1B66">
        <w:rPr>
          <w:strike/>
        </w:rPr>
        <w:tab/>
        <w:t>(ii)  data on every shipment of gasoline bought, sold or transported, including:</w:t>
      </w:r>
    </w:p>
    <w:p w14:paraId="6308C050" w14:textId="77777777" w:rsidR="00CA5612" w:rsidRPr="007A1B66" w:rsidRDefault="00CA5612" w:rsidP="00CA5612">
      <w:pPr>
        <w:tabs>
          <w:tab w:val="left" w:pos="-720"/>
        </w:tabs>
        <w:jc w:val="both"/>
        <w:rPr>
          <w:strike/>
        </w:rPr>
      </w:pPr>
      <w:r w:rsidRPr="007A1B66">
        <w:rPr>
          <w:strike/>
        </w:rPr>
        <w:tab/>
        <w:t>(A)  volume of each shipment;</w:t>
      </w:r>
    </w:p>
    <w:p w14:paraId="61C69793" w14:textId="77777777" w:rsidR="00CA5612" w:rsidRPr="007A1B66" w:rsidRDefault="00CA5612" w:rsidP="00CA5612">
      <w:pPr>
        <w:tabs>
          <w:tab w:val="left" w:pos="-720"/>
        </w:tabs>
        <w:jc w:val="both"/>
        <w:rPr>
          <w:strike/>
        </w:rPr>
      </w:pPr>
      <w:r w:rsidRPr="007A1B66">
        <w:rPr>
          <w:strike/>
        </w:rPr>
        <w:tab/>
        <w:t>(B) for each oxygenate, the type, percent by volume and purity (if available);</w:t>
      </w:r>
    </w:p>
    <w:p w14:paraId="1AB1CC6E" w14:textId="77777777" w:rsidR="00CA5612" w:rsidRPr="007A1B66" w:rsidRDefault="00CA5612" w:rsidP="00CA5612">
      <w:pPr>
        <w:tabs>
          <w:tab w:val="left" w:pos="-720"/>
        </w:tabs>
        <w:jc w:val="both"/>
        <w:rPr>
          <w:strike/>
        </w:rPr>
      </w:pPr>
      <w:r w:rsidRPr="007A1B66">
        <w:rPr>
          <w:strike/>
        </w:rPr>
        <w:lastRenderedPageBreak/>
        <w:tab/>
        <w:t>(C)  oxygen content by weight percent; and</w:t>
      </w:r>
    </w:p>
    <w:p w14:paraId="31FC4C43" w14:textId="77777777" w:rsidR="00CA5612" w:rsidRPr="007A1B66" w:rsidRDefault="00CA5612" w:rsidP="00CA5612">
      <w:pPr>
        <w:tabs>
          <w:tab w:val="left" w:pos="-720"/>
        </w:tabs>
        <w:jc w:val="both"/>
        <w:rPr>
          <w:strike/>
        </w:rPr>
      </w:pPr>
      <w:r w:rsidRPr="007A1B66">
        <w:rPr>
          <w:strike/>
        </w:rPr>
        <w:tab/>
        <w:t>(D)  destination county of each sale or shipment of gasoline, if the destination is within Utah or Weber County; and</w:t>
      </w:r>
    </w:p>
    <w:p w14:paraId="370677F0" w14:textId="77777777" w:rsidR="00CA5612" w:rsidRPr="007A1B66" w:rsidRDefault="00CA5612" w:rsidP="00CA5612">
      <w:pPr>
        <w:tabs>
          <w:tab w:val="left" w:pos="-720"/>
        </w:tabs>
        <w:jc w:val="both"/>
        <w:rPr>
          <w:strike/>
        </w:rPr>
      </w:pPr>
      <w:r w:rsidRPr="007A1B66">
        <w:rPr>
          <w:strike/>
        </w:rPr>
        <w:tab/>
        <w:t>(iii)  the name and telephone number of the person responsible for maintaining the records and the address where the records are located, if the location of the records is different from the station or outlet location.</w:t>
      </w:r>
    </w:p>
    <w:p w14:paraId="0E34049D" w14:textId="77777777" w:rsidR="00CA5612" w:rsidRPr="007A1B66" w:rsidRDefault="00CA5612" w:rsidP="00CA5612">
      <w:pPr>
        <w:tabs>
          <w:tab w:val="left" w:pos="-720"/>
        </w:tabs>
        <w:jc w:val="both"/>
        <w:rPr>
          <w:strike/>
        </w:rPr>
      </w:pPr>
      <w:r w:rsidRPr="007A1B66">
        <w:rPr>
          <w:strike/>
        </w:rPr>
        <w:tab/>
        <w:t>(e)  Carriers, distributors, resellers, terminal operators, and oxygenate blenders must keep a copy of the transfer document for each truckload or shipment of gasoline received, obtained, purchased, sold or dispensed.</w:t>
      </w:r>
    </w:p>
    <w:p w14:paraId="7CA1A704" w14:textId="77777777" w:rsidR="00CA5612" w:rsidRPr="007A1B66" w:rsidRDefault="00CA5612" w:rsidP="00CA5612">
      <w:pPr>
        <w:tabs>
          <w:tab w:val="left" w:pos="-720"/>
        </w:tabs>
        <w:jc w:val="both"/>
        <w:rPr>
          <w:strike/>
        </w:rPr>
      </w:pPr>
    </w:p>
    <w:p w14:paraId="60913631" w14:textId="77777777" w:rsidR="00CA5612" w:rsidRPr="007A1B66" w:rsidRDefault="00CA5612" w:rsidP="00CA5612">
      <w:pPr>
        <w:tabs>
          <w:tab w:val="left" w:pos="-720"/>
        </w:tabs>
        <w:jc w:val="both"/>
        <w:rPr>
          <w:strike/>
        </w:rPr>
      </w:pPr>
      <w:r w:rsidRPr="007A1B66">
        <w:rPr>
          <w:b/>
          <w:strike/>
        </w:rPr>
        <w:t>R307-301-9.  Reports.</w:t>
      </w:r>
    </w:p>
    <w:p w14:paraId="3DD8EBD0" w14:textId="77777777" w:rsidR="00CA5612" w:rsidRPr="007A1B66" w:rsidRDefault="00CA5612" w:rsidP="00CA5612">
      <w:pPr>
        <w:tabs>
          <w:tab w:val="left" w:pos="-720"/>
        </w:tabs>
        <w:jc w:val="both"/>
        <w:rPr>
          <w:strike/>
        </w:rPr>
      </w:pPr>
      <w:r w:rsidRPr="007A1B66">
        <w:rPr>
          <w:strike/>
        </w:rPr>
        <w:tab/>
        <w:t>(1)  Each CAR or blender CAR that elects to comply with the average oxygen content standard specified in R307-301-3 by the compliance option specified in R307-301-5(2) shall submit a report to the director for each control period for each control area as defined in R307-301-1 reflecting the compliance information detailed in R307-301-5(2).</w:t>
      </w:r>
    </w:p>
    <w:p w14:paraId="45DB67A0" w14:textId="77777777" w:rsidR="00CA5612" w:rsidRPr="007A1B66" w:rsidRDefault="00CA5612" w:rsidP="00CA5612">
      <w:pPr>
        <w:tabs>
          <w:tab w:val="left" w:pos="-720"/>
        </w:tabs>
        <w:jc w:val="both"/>
        <w:rPr>
          <w:strike/>
        </w:rPr>
      </w:pPr>
      <w:r w:rsidRPr="007A1B66">
        <w:rPr>
          <w:strike/>
        </w:rPr>
        <w:tab/>
        <w:t>(2)  Each CAR or blender CAR that elects to comply with the average oxygen content standard specified in R307-301-3 shall submit a report to the director for each control period for each control area as defined in R307-301-1 reflecting the compliance information detailed in R307-301-5(3), including the volume of oxygenated gasoline sold or dispensed into each control area during the control period.</w:t>
      </w:r>
    </w:p>
    <w:p w14:paraId="0D232F88" w14:textId="77777777" w:rsidR="00CA5612" w:rsidRPr="007A1B66" w:rsidRDefault="00CA5612" w:rsidP="00CA5612">
      <w:pPr>
        <w:tabs>
          <w:tab w:val="left" w:pos="-720"/>
        </w:tabs>
        <w:jc w:val="both"/>
        <w:rPr>
          <w:strike/>
        </w:rPr>
      </w:pPr>
      <w:r w:rsidRPr="007A1B66">
        <w:rPr>
          <w:strike/>
        </w:rPr>
        <w:tab/>
        <w:t>(3)  The report is due 30 working days, as defined in R307-301-1, after the last day of the control period for which the information is required.  The report shall be filed using forms provided by the director.</w:t>
      </w:r>
    </w:p>
    <w:p w14:paraId="19E3360C" w14:textId="77777777" w:rsidR="00CA5612" w:rsidRPr="007A1B66" w:rsidRDefault="00CA5612" w:rsidP="00CA5612">
      <w:pPr>
        <w:tabs>
          <w:tab w:val="left" w:pos="-720"/>
        </w:tabs>
        <w:jc w:val="both"/>
        <w:rPr>
          <w:strike/>
        </w:rPr>
      </w:pPr>
    </w:p>
    <w:p w14:paraId="3C9D2255" w14:textId="77777777" w:rsidR="00CA5612" w:rsidRPr="007A1B66" w:rsidRDefault="00CA5612" w:rsidP="00CA5612">
      <w:pPr>
        <w:tabs>
          <w:tab w:val="left" w:pos="-720"/>
        </w:tabs>
        <w:jc w:val="both"/>
        <w:rPr>
          <w:strike/>
        </w:rPr>
      </w:pPr>
      <w:r w:rsidRPr="007A1B66">
        <w:rPr>
          <w:b/>
          <w:strike/>
        </w:rPr>
        <w:t>R307-301-10.  Transfer Documents.</w:t>
      </w:r>
    </w:p>
    <w:p w14:paraId="733AE4A7" w14:textId="77777777" w:rsidR="00CA5612" w:rsidRPr="007A1B66" w:rsidRDefault="00CA5612" w:rsidP="00CA5612">
      <w:pPr>
        <w:tabs>
          <w:tab w:val="left" w:pos="-720"/>
        </w:tabs>
        <w:jc w:val="both"/>
        <w:rPr>
          <w:strike/>
        </w:rPr>
      </w:pPr>
      <w:r w:rsidRPr="007A1B66">
        <w:rPr>
          <w:strike/>
        </w:rPr>
        <w:tab/>
        <w:t>Each time that physical custody or title of gasoline destined for a control area changes hands other than when gasoline is sold or dispensed for use in motor vehicles at a retail outlet or wholesale purchaser-consumer installation, the transferor shall provide to the transferee, in addition to, or as part of, normal bills of lading, invoices, etc., a document containing information regarding that shipment.  This document shall accompany every shipment of gasoline to a control area after it has been dispensed by a terminal, or the information shall be included in the normal paperwork which accompanies every shipment of gasoline.  The information shall legibly and conspicuously contain the following information:</w:t>
      </w:r>
    </w:p>
    <w:p w14:paraId="3562C957" w14:textId="77777777" w:rsidR="00CA5612" w:rsidRPr="007A1B66" w:rsidRDefault="00CA5612" w:rsidP="00CA5612">
      <w:pPr>
        <w:tabs>
          <w:tab w:val="left" w:pos="-720"/>
        </w:tabs>
        <w:jc w:val="both"/>
        <w:rPr>
          <w:strike/>
        </w:rPr>
      </w:pPr>
      <w:r w:rsidRPr="007A1B66">
        <w:rPr>
          <w:strike/>
        </w:rPr>
        <w:tab/>
        <w:t>(1)  the date of the transfer;</w:t>
      </w:r>
    </w:p>
    <w:p w14:paraId="29D2CD06" w14:textId="77777777" w:rsidR="00CA5612" w:rsidRPr="007A1B66" w:rsidRDefault="00CA5612" w:rsidP="00CA5612">
      <w:pPr>
        <w:tabs>
          <w:tab w:val="left" w:pos="-720"/>
        </w:tabs>
        <w:jc w:val="both"/>
        <w:rPr>
          <w:strike/>
        </w:rPr>
      </w:pPr>
      <w:r w:rsidRPr="007A1B66">
        <w:rPr>
          <w:strike/>
        </w:rPr>
        <w:tab/>
        <w:t>(2)  the name, address, and CAR, blender CAR, carrier, distributor, or reseller identification number, if applicable, of the transferor;</w:t>
      </w:r>
    </w:p>
    <w:p w14:paraId="17101E6C" w14:textId="77777777" w:rsidR="00CA5612" w:rsidRPr="007A1B66" w:rsidRDefault="00CA5612" w:rsidP="00CA5612">
      <w:pPr>
        <w:tabs>
          <w:tab w:val="left" w:pos="-720"/>
        </w:tabs>
        <w:jc w:val="both"/>
        <w:rPr>
          <w:strike/>
        </w:rPr>
      </w:pPr>
      <w:r w:rsidRPr="007A1B66">
        <w:rPr>
          <w:strike/>
        </w:rPr>
        <w:tab/>
        <w:t>(3)  the name, address, and CAR, blender CAR, carrier, distributor, or reseller identification number, if applicable, of the transferee;</w:t>
      </w:r>
    </w:p>
    <w:p w14:paraId="606BD466" w14:textId="77777777" w:rsidR="00CA5612" w:rsidRPr="007A1B66" w:rsidRDefault="00CA5612" w:rsidP="00CA5612">
      <w:pPr>
        <w:tabs>
          <w:tab w:val="left" w:pos="-720"/>
        </w:tabs>
        <w:jc w:val="both"/>
        <w:rPr>
          <w:strike/>
        </w:rPr>
      </w:pPr>
      <w:r w:rsidRPr="007A1B66">
        <w:rPr>
          <w:strike/>
        </w:rPr>
        <w:tab/>
        <w:t>(4)  the volume of gasoline which is being transferred;</w:t>
      </w:r>
    </w:p>
    <w:p w14:paraId="23C02B9E" w14:textId="77777777" w:rsidR="00CA5612" w:rsidRPr="007A1B66" w:rsidRDefault="00CA5612" w:rsidP="00CA5612">
      <w:pPr>
        <w:tabs>
          <w:tab w:val="left" w:pos="-720"/>
        </w:tabs>
        <w:jc w:val="both"/>
        <w:rPr>
          <w:strike/>
        </w:rPr>
      </w:pPr>
      <w:r w:rsidRPr="007A1B66">
        <w:rPr>
          <w:strike/>
        </w:rPr>
        <w:tab/>
        <w:t>(5)  identification of the gasoline as oxygenated or, if non-oxygenated, with a statement labeling it as "Non-oxygenated gasoline, not for sale to ultimate consumer in a control area during a control period";</w:t>
      </w:r>
    </w:p>
    <w:p w14:paraId="1E5608B8" w14:textId="77777777" w:rsidR="00CA5612" w:rsidRPr="007A1B66" w:rsidRDefault="00CA5612" w:rsidP="00CA5612">
      <w:pPr>
        <w:tabs>
          <w:tab w:val="left" w:pos="-720"/>
        </w:tabs>
        <w:jc w:val="both"/>
        <w:rPr>
          <w:strike/>
        </w:rPr>
      </w:pPr>
      <w:r w:rsidRPr="007A1B66">
        <w:rPr>
          <w:strike/>
        </w:rPr>
        <w:tab/>
        <w:t>(6)  the location of the gasoline at the time of the transfer;</w:t>
      </w:r>
    </w:p>
    <w:p w14:paraId="659936C9" w14:textId="77777777" w:rsidR="00CA5612" w:rsidRPr="007A1B66" w:rsidRDefault="00CA5612" w:rsidP="00CA5612">
      <w:pPr>
        <w:tabs>
          <w:tab w:val="left" w:pos="-720"/>
        </w:tabs>
        <w:jc w:val="both"/>
        <w:rPr>
          <w:strike/>
        </w:rPr>
      </w:pPr>
      <w:r w:rsidRPr="007A1B66">
        <w:rPr>
          <w:strike/>
        </w:rPr>
        <w:tab/>
        <w:t>(7)  type of each oxygenate and percentage by volume for each oxygenate;</w:t>
      </w:r>
    </w:p>
    <w:p w14:paraId="41D7A2D9" w14:textId="77777777" w:rsidR="00CA5612" w:rsidRPr="007A1B66" w:rsidRDefault="00CA5612" w:rsidP="00CA5612">
      <w:pPr>
        <w:tabs>
          <w:tab w:val="left" w:pos="-720"/>
        </w:tabs>
        <w:jc w:val="both"/>
        <w:rPr>
          <w:strike/>
        </w:rPr>
      </w:pPr>
      <w:r w:rsidRPr="007A1B66">
        <w:rPr>
          <w:strike/>
        </w:rPr>
        <w:tab/>
        <w:t>(8)  oxygen content by weight percent; and</w:t>
      </w:r>
    </w:p>
    <w:p w14:paraId="088F32E8" w14:textId="77777777" w:rsidR="00CA5612" w:rsidRPr="007A1B66" w:rsidRDefault="00CA5612" w:rsidP="00CA5612">
      <w:pPr>
        <w:tabs>
          <w:tab w:val="left" w:pos="-720"/>
        </w:tabs>
        <w:jc w:val="both"/>
        <w:rPr>
          <w:strike/>
        </w:rPr>
      </w:pPr>
      <w:r w:rsidRPr="007A1B66">
        <w:rPr>
          <w:strike/>
        </w:rPr>
        <w:tab/>
        <w:t>(9)  for gasoline which is in the gasoline distribution network between the refinery or import installation and the control area terminal, for each oxygenate used, the type of oxygenate, its purity and percentage by volume and the oxygen content by weight percent.</w:t>
      </w:r>
    </w:p>
    <w:p w14:paraId="78A09A1C" w14:textId="77777777" w:rsidR="00CA5612" w:rsidRPr="007A1B66" w:rsidRDefault="00CA5612" w:rsidP="00CA5612">
      <w:pPr>
        <w:tabs>
          <w:tab w:val="left" w:pos="-720"/>
        </w:tabs>
        <w:jc w:val="both"/>
        <w:rPr>
          <w:strike/>
        </w:rPr>
      </w:pPr>
    </w:p>
    <w:p w14:paraId="44452E57" w14:textId="77777777" w:rsidR="00CA5612" w:rsidRPr="007A1B66" w:rsidRDefault="00CA5612" w:rsidP="00CA5612">
      <w:pPr>
        <w:tabs>
          <w:tab w:val="left" w:pos="-720"/>
        </w:tabs>
        <w:jc w:val="both"/>
        <w:rPr>
          <w:strike/>
        </w:rPr>
      </w:pPr>
      <w:r w:rsidRPr="007A1B66">
        <w:rPr>
          <w:b/>
          <w:strike/>
        </w:rPr>
        <w:t>R307-301-11.  Prohibited Activities.</w:t>
      </w:r>
    </w:p>
    <w:p w14:paraId="2D0F9759" w14:textId="77777777" w:rsidR="00CA5612" w:rsidRPr="007A1B66" w:rsidRDefault="00CA5612" w:rsidP="00CA5612">
      <w:pPr>
        <w:tabs>
          <w:tab w:val="left" w:pos="-720"/>
        </w:tabs>
        <w:jc w:val="both"/>
        <w:rPr>
          <w:strike/>
        </w:rPr>
      </w:pPr>
      <w:r w:rsidRPr="007A1B66">
        <w:rPr>
          <w:strike/>
        </w:rPr>
        <w:tab/>
        <w:t>(1)  During the control period, no refiner, oxygenate blender, CAR, blender CAR, control area terminal operator, carrier, distributor or reseller may manufacturer, sell, offer for sale, dispense, supply, offer for supply, store, transport, or cause the transport of:</w:t>
      </w:r>
    </w:p>
    <w:p w14:paraId="4A2DFFB5" w14:textId="77777777" w:rsidR="00CA5612" w:rsidRPr="007A1B66" w:rsidRDefault="00CA5612" w:rsidP="00CA5612">
      <w:pPr>
        <w:tabs>
          <w:tab w:val="left" w:pos="-720"/>
        </w:tabs>
        <w:jc w:val="both"/>
        <w:rPr>
          <w:strike/>
        </w:rPr>
      </w:pPr>
      <w:r w:rsidRPr="007A1B66">
        <w:rPr>
          <w:strike/>
        </w:rPr>
        <w:tab/>
        <w:t>(a)  gasoline which contains less than 2.0% oxygen by weight, or 2.6% oxygen by weight if the average oxygen content standard is 3.1% oxygen, for use during the control period, in a control area unless clearly marked documents accompany the gasoline labeling it as "Non-oxygenated gasoline, not for sale to ultimate consumer in a control area during a control period"; or</w:t>
      </w:r>
    </w:p>
    <w:p w14:paraId="61B79C71" w14:textId="77777777" w:rsidR="00CA5612" w:rsidRPr="007A1B66" w:rsidRDefault="00CA5612" w:rsidP="00CA5612">
      <w:pPr>
        <w:tabs>
          <w:tab w:val="left" w:pos="-720"/>
        </w:tabs>
        <w:jc w:val="both"/>
        <w:rPr>
          <w:strike/>
        </w:rPr>
      </w:pPr>
      <w:r w:rsidRPr="007A1B66">
        <w:rPr>
          <w:strike/>
        </w:rPr>
        <w:tab/>
        <w:t>(b)  gasoline represented as oxygenated which has an oxygen content which is improperly stated in the documents which accompany such gasoline.</w:t>
      </w:r>
    </w:p>
    <w:p w14:paraId="5BF98526" w14:textId="77777777" w:rsidR="00CA5612" w:rsidRPr="007A1B66" w:rsidRDefault="00CA5612" w:rsidP="00CA5612">
      <w:pPr>
        <w:tabs>
          <w:tab w:val="left" w:pos="-720"/>
        </w:tabs>
        <w:jc w:val="both"/>
        <w:rPr>
          <w:strike/>
        </w:rPr>
      </w:pPr>
      <w:r w:rsidRPr="007A1B66">
        <w:rPr>
          <w:strike/>
        </w:rPr>
        <w:tab/>
        <w:t>(2)  No retailer or wholesale purchaser-consumer may dispense, offer for sale, sell or store, for use during the control period, gasoline which contains less than 2.0% oxygen by weight, or 2.6% oxygen by weight if the average oxygen content standard is 3.1% in a control area.</w:t>
      </w:r>
    </w:p>
    <w:p w14:paraId="0E75E471" w14:textId="77777777" w:rsidR="00CA5612" w:rsidRPr="007A1B66" w:rsidRDefault="00CA5612" w:rsidP="00CA5612">
      <w:pPr>
        <w:tabs>
          <w:tab w:val="left" w:pos="-720"/>
        </w:tabs>
        <w:jc w:val="both"/>
        <w:rPr>
          <w:strike/>
        </w:rPr>
      </w:pPr>
      <w:r w:rsidRPr="007A1B66">
        <w:rPr>
          <w:strike/>
        </w:rPr>
        <w:tab/>
        <w:t>(3)  No person may operate as a CAR or blender CAR or hold themselves out as such unless they have been properly registered by the director.  No CAR or blender CAR may offer for sale or store, sell, or dispense gasoline, to any person not registered as a CAR or blender CAR for use in a control area, unless:</w:t>
      </w:r>
    </w:p>
    <w:p w14:paraId="5BC96A29" w14:textId="77777777" w:rsidR="00CA5612" w:rsidRPr="007A1B66" w:rsidRDefault="00CA5612" w:rsidP="00CA5612">
      <w:pPr>
        <w:tabs>
          <w:tab w:val="left" w:pos="-720"/>
        </w:tabs>
        <w:jc w:val="both"/>
        <w:rPr>
          <w:strike/>
        </w:rPr>
      </w:pPr>
      <w:r w:rsidRPr="007A1B66">
        <w:rPr>
          <w:strike/>
        </w:rPr>
        <w:tab/>
        <w:t>(a)  the average oxygen content of the gasoline during the averaging period meets the standard established in R307-301-3; and</w:t>
      </w:r>
    </w:p>
    <w:p w14:paraId="58FAA00D" w14:textId="77777777" w:rsidR="00CA5612" w:rsidRPr="007A1B66" w:rsidRDefault="00CA5612" w:rsidP="00CA5612">
      <w:pPr>
        <w:tabs>
          <w:tab w:val="left" w:pos="-720"/>
        </w:tabs>
        <w:jc w:val="both"/>
        <w:rPr>
          <w:strike/>
        </w:rPr>
      </w:pPr>
      <w:r w:rsidRPr="007A1B66">
        <w:rPr>
          <w:strike/>
        </w:rPr>
        <w:tab/>
        <w:t>(b)  the gasoline contains at least 2.0% oxygen by weight, or 2.6% oxygen by weight if the average oxygen content standard is 3.1% on a per-gallon basis.</w:t>
      </w:r>
    </w:p>
    <w:p w14:paraId="21DB07EA" w14:textId="77777777" w:rsidR="00CA5612" w:rsidRPr="007A1B66" w:rsidRDefault="00CA5612" w:rsidP="00CA5612">
      <w:pPr>
        <w:tabs>
          <w:tab w:val="left" w:pos="-720"/>
        </w:tabs>
        <w:jc w:val="both"/>
        <w:rPr>
          <w:strike/>
        </w:rPr>
      </w:pPr>
      <w:r w:rsidRPr="007A1B66">
        <w:rPr>
          <w:strike/>
        </w:rPr>
        <w:tab/>
        <w:t>(4)  For terminals which sell or dispense gasoline intended for use in a control area during a control period, the terminal owner or operator may not accept gasoline into the terminal unless:</w:t>
      </w:r>
    </w:p>
    <w:p w14:paraId="6ACB52C7" w14:textId="77777777" w:rsidR="00CA5612" w:rsidRPr="007A1B66" w:rsidRDefault="00CA5612" w:rsidP="00CA5612">
      <w:pPr>
        <w:tabs>
          <w:tab w:val="left" w:pos="-720"/>
        </w:tabs>
        <w:jc w:val="both"/>
        <w:rPr>
          <w:strike/>
        </w:rPr>
      </w:pPr>
      <w:r w:rsidRPr="007A1B66">
        <w:rPr>
          <w:strike/>
        </w:rPr>
        <w:tab/>
        <w:t>(a)  transfer documentation containing the information specified in R307-301-8(3) accompanies the gasoline and</w:t>
      </w:r>
    </w:p>
    <w:p w14:paraId="15339408" w14:textId="77777777" w:rsidR="00CA5612" w:rsidRPr="007A1B66" w:rsidRDefault="00CA5612" w:rsidP="00CA5612">
      <w:pPr>
        <w:tabs>
          <w:tab w:val="left" w:pos="-720"/>
        </w:tabs>
        <w:jc w:val="both"/>
        <w:rPr>
          <w:strike/>
        </w:rPr>
      </w:pPr>
      <w:r w:rsidRPr="007A1B66">
        <w:rPr>
          <w:strike/>
        </w:rPr>
        <w:tab/>
        <w:t>(b)  the terminal owner or operator conducts a quality assurance program to verify the accuracy of this information.</w:t>
      </w:r>
    </w:p>
    <w:p w14:paraId="76C2B492" w14:textId="77777777" w:rsidR="00CA5612" w:rsidRPr="007A1B66" w:rsidRDefault="00CA5612" w:rsidP="00CA5612">
      <w:pPr>
        <w:tabs>
          <w:tab w:val="left" w:pos="-720"/>
        </w:tabs>
        <w:jc w:val="both"/>
        <w:rPr>
          <w:strike/>
        </w:rPr>
      </w:pPr>
      <w:r w:rsidRPr="007A1B66">
        <w:rPr>
          <w:strike/>
        </w:rPr>
        <w:tab/>
        <w:t>(5)  No person may sell or dispense non-oxygenated gasoline for use in any control area during the control period, unless:</w:t>
      </w:r>
    </w:p>
    <w:p w14:paraId="269631B0" w14:textId="77777777" w:rsidR="00CA5612" w:rsidRPr="007A1B66" w:rsidRDefault="00CA5612" w:rsidP="00CA5612">
      <w:pPr>
        <w:tabs>
          <w:tab w:val="left" w:pos="-720"/>
        </w:tabs>
        <w:jc w:val="both"/>
        <w:rPr>
          <w:strike/>
        </w:rPr>
      </w:pPr>
      <w:r w:rsidRPr="007A1B66">
        <w:rPr>
          <w:strike/>
        </w:rPr>
        <w:tab/>
        <w:t>(a)  the non-oxygenated gasoline is segregated from oxygenated gasoline;</w:t>
      </w:r>
    </w:p>
    <w:p w14:paraId="6AFCEF19" w14:textId="77777777" w:rsidR="00CA5612" w:rsidRPr="007A1B66" w:rsidRDefault="00CA5612" w:rsidP="00CA5612">
      <w:pPr>
        <w:tabs>
          <w:tab w:val="left" w:pos="-720"/>
        </w:tabs>
        <w:jc w:val="both"/>
        <w:rPr>
          <w:strike/>
        </w:rPr>
      </w:pPr>
      <w:r w:rsidRPr="007A1B66">
        <w:rPr>
          <w:strike/>
        </w:rPr>
        <w:lastRenderedPageBreak/>
        <w:tab/>
        <w:t>(b)  clearly marked documents accompany the non-oxygenated gasoline labeling it as "non-oxygenated gasoline, not for sale to ultimate consumer in a control area during a control period," and</w:t>
      </w:r>
    </w:p>
    <w:p w14:paraId="046D7AD6" w14:textId="77777777" w:rsidR="00CA5612" w:rsidRPr="007A1B66" w:rsidRDefault="00CA5612" w:rsidP="00CA5612">
      <w:pPr>
        <w:tabs>
          <w:tab w:val="left" w:pos="-720"/>
        </w:tabs>
        <w:jc w:val="both"/>
        <w:rPr>
          <w:strike/>
        </w:rPr>
      </w:pPr>
      <w:r w:rsidRPr="007A1B66">
        <w:rPr>
          <w:strike/>
        </w:rPr>
        <w:tab/>
        <w:t>(c)  the non-oxygenated gasoline is in fact not sold or dispensed to ultimate consumers during the control period in the control area.</w:t>
      </w:r>
    </w:p>
    <w:p w14:paraId="770E14D1" w14:textId="77777777" w:rsidR="00CA5612" w:rsidRPr="007A1B66" w:rsidRDefault="00CA5612" w:rsidP="00CA5612">
      <w:pPr>
        <w:tabs>
          <w:tab w:val="left" w:pos="-720"/>
        </w:tabs>
        <w:jc w:val="both"/>
        <w:rPr>
          <w:strike/>
        </w:rPr>
      </w:pPr>
      <w:r w:rsidRPr="007A1B66">
        <w:rPr>
          <w:strike/>
        </w:rPr>
        <w:tab/>
        <w:t>(6)  No named person may fail to comply with the recordkeeping and reporting requirements contained in R307-301-8 through 10.</w:t>
      </w:r>
    </w:p>
    <w:p w14:paraId="72419527" w14:textId="77777777" w:rsidR="00CA5612" w:rsidRPr="007A1B66" w:rsidRDefault="00CA5612" w:rsidP="00CA5612">
      <w:pPr>
        <w:tabs>
          <w:tab w:val="left" w:pos="-720"/>
        </w:tabs>
        <w:jc w:val="both"/>
        <w:rPr>
          <w:strike/>
        </w:rPr>
      </w:pPr>
      <w:r w:rsidRPr="007A1B66">
        <w:rPr>
          <w:strike/>
        </w:rPr>
        <w:tab/>
        <w:t>(7)  No person may sell, dispense or transfer oxygenated gasoline, except for use by the ultimate consumer at a retail outlet or wholesale purchaser-consumer installation, without transfer documents which accurately contain the information required by R307-301-10).</w:t>
      </w:r>
    </w:p>
    <w:p w14:paraId="5903E37D" w14:textId="77777777" w:rsidR="00CA5612" w:rsidRPr="007A1B66" w:rsidRDefault="00CA5612" w:rsidP="00CA5612">
      <w:pPr>
        <w:tabs>
          <w:tab w:val="left" w:pos="-720"/>
        </w:tabs>
        <w:jc w:val="both"/>
        <w:rPr>
          <w:strike/>
        </w:rPr>
      </w:pPr>
      <w:r w:rsidRPr="007A1B66">
        <w:rPr>
          <w:strike/>
        </w:rPr>
        <w:tab/>
        <w:t>(8)  Liability for violations of the prohibited activities.</w:t>
      </w:r>
    </w:p>
    <w:p w14:paraId="053B2907" w14:textId="77777777" w:rsidR="00CA5612" w:rsidRPr="007A1B66" w:rsidRDefault="00CA5612" w:rsidP="00CA5612">
      <w:pPr>
        <w:tabs>
          <w:tab w:val="left" w:pos="-720"/>
        </w:tabs>
        <w:jc w:val="both"/>
        <w:rPr>
          <w:strike/>
        </w:rPr>
      </w:pPr>
      <w:r w:rsidRPr="007A1B66">
        <w:rPr>
          <w:strike/>
        </w:rPr>
        <w:tab/>
        <w:t>(a)  Where the gasoline contained in any storage tank at any installation owned, leased, operated, controlled or supervised by any retailer, wholesale purchaser-consumer, distributor, reseller, carrier, refiner, or oxygenate blender is found in violation of the prohibitions described in (1)(a) or (2) above, the following persons shall be in violation:</w:t>
      </w:r>
    </w:p>
    <w:p w14:paraId="49A19343"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retailer, wholesale purchaser-consumer, distributor, reseller, carrier, refiner, or oxygenate blender who owns, leases, operates, controls or supervises the installation where the violation is found; and</w:t>
      </w:r>
    </w:p>
    <w:p w14:paraId="569B4123" w14:textId="77777777" w:rsidR="00CA5612" w:rsidRPr="007A1B66" w:rsidRDefault="00CA5612" w:rsidP="00CA5612">
      <w:pPr>
        <w:tabs>
          <w:tab w:val="left" w:pos="-720"/>
        </w:tabs>
        <w:jc w:val="both"/>
        <w:rPr>
          <w:strike/>
        </w:rPr>
      </w:pPr>
      <w:r w:rsidRPr="007A1B66">
        <w:rPr>
          <w:strike/>
        </w:rPr>
        <w:tab/>
        <w:t>(ii)  each oxygenate blender, distributor, reseller, and carrier who, downstream of the control area terminal, sold, offered for sale, dispensed, supplied, offered for supply, stored, transported, or caused the transportation of any gasoline which is in the storage tank containing gasoline found to be in violation.</w:t>
      </w:r>
    </w:p>
    <w:p w14:paraId="1D1EC6B7" w14:textId="77777777" w:rsidR="00CA5612" w:rsidRPr="007A1B66" w:rsidRDefault="00CA5612" w:rsidP="00CA5612">
      <w:pPr>
        <w:tabs>
          <w:tab w:val="left" w:pos="-720"/>
        </w:tabs>
        <w:jc w:val="both"/>
        <w:rPr>
          <w:strike/>
        </w:rPr>
      </w:pPr>
      <w:r w:rsidRPr="007A1B66">
        <w:rPr>
          <w:strike/>
        </w:rPr>
        <w:tab/>
        <w:t>(b)  Where the gasoline contained in any storage tank at any installation owned, leased, operated, controlled or supervised by any retailer, wholesale purchaser-consumer, distributor, reseller, carrier, refiner, or oxygenate blender is found in violation of the prohibitions described in (1)(b) or (2) above, the following persons shall be in violation:</w:t>
      </w:r>
    </w:p>
    <w:p w14:paraId="40BA1CA4"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the retailer, wholesale purchaser-consumer, distributor, reseller, carrier, refiner, or oxygenate blender who owns, leases, operates, controls or supervises the installation where the violation is found; and</w:t>
      </w:r>
    </w:p>
    <w:p w14:paraId="3EE9A854" w14:textId="77777777" w:rsidR="00CA5612" w:rsidRPr="007A1B66" w:rsidRDefault="00CA5612" w:rsidP="00CA5612">
      <w:pPr>
        <w:tabs>
          <w:tab w:val="left" w:pos="-720"/>
        </w:tabs>
        <w:jc w:val="both"/>
        <w:rPr>
          <w:strike/>
        </w:rPr>
      </w:pPr>
      <w:r w:rsidRPr="007A1B66">
        <w:rPr>
          <w:strike/>
        </w:rPr>
        <w:tab/>
        <w:t>(ii)  each refiner, oxygenate blender, distributor, reseller, and carrier who manufactured, imported, sold, offered for sale, dispensed, supplied, offered for supply, stored, transported, or caused the transportation of any gasoline which is in the storage tank containing gasoline found to be in violation.</w:t>
      </w:r>
    </w:p>
    <w:p w14:paraId="24EB75CF" w14:textId="77777777" w:rsidR="00CA5612" w:rsidRPr="007A1B66" w:rsidRDefault="00CA5612" w:rsidP="00CA5612">
      <w:pPr>
        <w:tabs>
          <w:tab w:val="left" w:pos="-720"/>
        </w:tabs>
        <w:jc w:val="both"/>
        <w:rPr>
          <w:strike/>
        </w:rPr>
      </w:pPr>
      <w:r w:rsidRPr="007A1B66">
        <w:rPr>
          <w:strike/>
        </w:rPr>
        <w:tab/>
        <w:t>(9)  Defenses for prohibited activities.</w:t>
      </w:r>
    </w:p>
    <w:p w14:paraId="78135120" w14:textId="77777777" w:rsidR="00CA5612" w:rsidRPr="007A1B66" w:rsidRDefault="00CA5612" w:rsidP="00CA5612">
      <w:pPr>
        <w:tabs>
          <w:tab w:val="left" w:pos="-720"/>
        </w:tabs>
        <w:jc w:val="both"/>
        <w:rPr>
          <w:strike/>
        </w:rPr>
      </w:pPr>
      <w:r w:rsidRPr="007A1B66">
        <w:rPr>
          <w:strike/>
        </w:rPr>
        <w:tab/>
        <w:t>(a)  In any case in which a refiner, oxygenate blender, distributor, reseller or carrier would be in violation under (1) above, that person shall not be in violation if they can demonstrate that they meet all of the following:</w:t>
      </w:r>
    </w:p>
    <w:p w14:paraId="181C2B0B"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that the violation was not caused by the regulated party or its employee or agent;</w:t>
      </w:r>
    </w:p>
    <w:p w14:paraId="0BAC0690" w14:textId="77777777" w:rsidR="00CA5612" w:rsidRPr="007A1B66" w:rsidRDefault="00CA5612" w:rsidP="00CA5612">
      <w:pPr>
        <w:tabs>
          <w:tab w:val="left" w:pos="-720"/>
        </w:tabs>
        <w:jc w:val="both"/>
        <w:rPr>
          <w:strike/>
        </w:rPr>
      </w:pPr>
      <w:r w:rsidRPr="007A1B66">
        <w:rPr>
          <w:strike/>
        </w:rPr>
        <w:tab/>
        <w:t>(ii)  that refiner, oxygenate blender, distributor, reseller or carrier possesses documents which should accompany the gasoline, which contain the information required by R307-301-8; and</w:t>
      </w:r>
    </w:p>
    <w:p w14:paraId="61847350" w14:textId="77777777" w:rsidR="00CA5612" w:rsidRPr="007A1B66" w:rsidRDefault="00CA5612" w:rsidP="00CA5612">
      <w:pPr>
        <w:tabs>
          <w:tab w:val="left" w:pos="-720"/>
        </w:tabs>
        <w:jc w:val="both"/>
        <w:rPr>
          <w:strike/>
        </w:rPr>
      </w:pPr>
      <w:r w:rsidRPr="007A1B66">
        <w:rPr>
          <w:strike/>
        </w:rPr>
        <w:tab/>
        <w:t>(iii)  that refiner, oxygenate blender, distributor, reseller or carrier conducts a quality assurance sampling and testing program as described in (10) below.</w:t>
      </w:r>
    </w:p>
    <w:p w14:paraId="3148BC53" w14:textId="77777777" w:rsidR="00CA5612" w:rsidRPr="007A1B66" w:rsidRDefault="00CA5612" w:rsidP="00CA5612">
      <w:pPr>
        <w:tabs>
          <w:tab w:val="left" w:pos="-720"/>
        </w:tabs>
        <w:jc w:val="both"/>
        <w:rPr>
          <w:strike/>
        </w:rPr>
      </w:pPr>
      <w:r w:rsidRPr="007A1B66">
        <w:rPr>
          <w:strike/>
        </w:rPr>
        <w:tab/>
        <w:t>(b)  In any case in which a retailer or wholesale purchaser-consumer would be in violation under (2) above, the retailer or wholesale purchaser-consumer shall not be in violation if it can demonstrate that they meet all of the following:</w:t>
      </w:r>
    </w:p>
    <w:p w14:paraId="4E6D8415"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that the violation was not caused by the regulated party or its employee or agent; and</w:t>
      </w:r>
    </w:p>
    <w:p w14:paraId="5A7101DA" w14:textId="77777777" w:rsidR="00CA5612" w:rsidRPr="007A1B66" w:rsidRDefault="00CA5612" w:rsidP="00CA5612">
      <w:pPr>
        <w:tabs>
          <w:tab w:val="left" w:pos="-720"/>
        </w:tabs>
        <w:jc w:val="both"/>
        <w:rPr>
          <w:strike/>
        </w:rPr>
      </w:pPr>
      <w:r w:rsidRPr="007A1B66">
        <w:rPr>
          <w:strike/>
        </w:rPr>
        <w:tab/>
        <w:t>(ii)  that the retailer or wholesale purchaser-consumer possess documents which should accompany the gasoline, which contain the information required by R307-301-8 through 10.</w:t>
      </w:r>
    </w:p>
    <w:p w14:paraId="3C60FB70" w14:textId="77777777" w:rsidR="00CA5612" w:rsidRPr="007A1B66" w:rsidRDefault="00CA5612" w:rsidP="00CA5612">
      <w:pPr>
        <w:tabs>
          <w:tab w:val="left" w:pos="-720"/>
        </w:tabs>
        <w:jc w:val="both"/>
        <w:rPr>
          <w:strike/>
        </w:rPr>
      </w:pPr>
      <w:r w:rsidRPr="007A1B66">
        <w:rPr>
          <w:strike/>
        </w:rPr>
        <w:tab/>
        <w:t>(c)  Where a violation is found at an installation which is operating under the corporate, trade or brand name of a refiner, that refiner must show, in addition to the defense elements required by (a) above, that the violation was caused by any of the following:</w:t>
      </w:r>
    </w:p>
    <w:p w14:paraId="6F9AB919" w14:textId="77777777" w:rsidR="00CA5612" w:rsidRPr="007A1B66" w:rsidRDefault="00CA5612" w:rsidP="00CA5612">
      <w:pPr>
        <w:tabs>
          <w:tab w:val="left" w:pos="-720"/>
        </w:tabs>
        <w:jc w:val="both"/>
        <w:rPr>
          <w:strike/>
        </w:rPr>
      </w:pPr>
      <w:r w:rsidRPr="007A1B66">
        <w:rPr>
          <w:strike/>
        </w:rPr>
        <w:tab/>
        <w:t>(</w:t>
      </w:r>
      <w:proofErr w:type="spellStart"/>
      <w:r w:rsidRPr="007A1B66">
        <w:rPr>
          <w:strike/>
        </w:rPr>
        <w:t>i</w:t>
      </w:r>
      <w:proofErr w:type="spellEnd"/>
      <w:r w:rsidRPr="007A1B66">
        <w:rPr>
          <w:strike/>
        </w:rPr>
        <w:t>)  an act in violation of law (other than the Clean Air Act or R307-301), or an act of sabotage or vandalism, or</w:t>
      </w:r>
    </w:p>
    <w:p w14:paraId="1DBBE3E1" w14:textId="77777777" w:rsidR="00CA5612" w:rsidRPr="007A1B66" w:rsidRDefault="00CA5612" w:rsidP="00CA5612">
      <w:pPr>
        <w:tabs>
          <w:tab w:val="left" w:pos="-720"/>
        </w:tabs>
        <w:jc w:val="both"/>
        <w:rPr>
          <w:strike/>
        </w:rPr>
      </w:pPr>
      <w:r w:rsidRPr="007A1B66">
        <w:rPr>
          <w:strike/>
        </w:rPr>
        <w:tab/>
        <w:t>(ii)  the action of a reseller, distributor, oxygenate blender, carrier, or a retailer, or wholesale purchaser-consumer which is supplied by any of the persons listed in (a) above, in violation of a contractual undertaking imposed by the refiner designed to prevent such action, and despite periodic sampling and testing by the refiner to ensure compliance with such contractual obligation; or</w:t>
      </w:r>
    </w:p>
    <w:p w14:paraId="4C21E283" w14:textId="77777777" w:rsidR="00CA5612" w:rsidRPr="007A1B66" w:rsidRDefault="00CA5612" w:rsidP="00CA5612">
      <w:pPr>
        <w:tabs>
          <w:tab w:val="left" w:pos="-720"/>
        </w:tabs>
        <w:jc w:val="both"/>
        <w:rPr>
          <w:strike/>
        </w:rPr>
      </w:pPr>
      <w:r w:rsidRPr="007A1B66">
        <w:rPr>
          <w:strike/>
        </w:rPr>
        <w:tab/>
        <w:t>(iii)  the action of any carrier or other distributor not subject to a contract with the refiner but engaged by the refiner for transportation of gasoline, despite specification or inspection of procedures and equipment by the refiner or periodic sampling and testing which are reasonably calculated to prevent such action.</w:t>
      </w:r>
    </w:p>
    <w:p w14:paraId="4AFBA922" w14:textId="77777777" w:rsidR="00CA5612" w:rsidRPr="007A1B66" w:rsidRDefault="00CA5612" w:rsidP="00CA5612">
      <w:pPr>
        <w:tabs>
          <w:tab w:val="left" w:pos="-720"/>
        </w:tabs>
        <w:jc w:val="both"/>
        <w:rPr>
          <w:strike/>
        </w:rPr>
      </w:pPr>
      <w:r w:rsidRPr="007A1B66">
        <w:rPr>
          <w:strike/>
        </w:rPr>
        <w:tab/>
        <w:t>(d)  In R307-301-8 through 11, the term "was caused" means that the party must demonstrate by specific showings or by direct evidence, that the violation was caused or must have been caused by another.</w:t>
      </w:r>
    </w:p>
    <w:p w14:paraId="33946C9F" w14:textId="77777777" w:rsidR="00CA5612" w:rsidRPr="007A1B66" w:rsidRDefault="00CA5612" w:rsidP="00CA5612">
      <w:pPr>
        <w:tabs>
          <w:tab w:val="left" w:pos="-720"/>
        </w:tabs>
        <w:jc w:val="both"/>
        <w:rPr>
          <w:strike/>
        </w:rPr>
      </w:pPr>
      <w:r w:rsidRPr="007A1B66">
        <w:rPr>
          <w:strike/>
        </w:rPr>
        <w:tab/>
        <w:t>(10)  Quality Assurance Program.  In order to demonstrate an acceptable quality assurance program, a party must conduct periodic sampling and testing to determine if the oxygenated gasoline has oxygen content which is consistent with the product transfer documentation.</w:t>
      </w:r>
    </w:p>
    <w:p w14:paraId="6017DF7C" w14:textId="77777777" w:rsidR="00CA5612" w:rsidRPr="007A1B66" w:rsidRDefault="00CA5612" w:rsidP="00CA5612">
      <w:pPr>
        <w:tabs>
          <w:tab w:val="left" w:pos="-720"/>
        </w:tabs>
        <w:jc w:val="both"/>
        <w:rPr>
          <w:strike/>
        </w:rPr>
      </w:pPr>
    </w:p>
    <w:p w14:paraId="0EE57C14" w14:textId="77777777" w:rsidR="00CA5612" w:rsidRPr="007A1B66" w:rsidRDefault="00CA5612" w:rsidP="00CA5612">
      <w:pPr>
        <w:tabs>
          <w:tab w:val="left" w:pos="-720"/>
        </w:tabs>
        <w:jc w:val="both"/>
        <w:rPr>
          <w:strike/>
        </w:rPr>
      </w:pPr>
      <w:r w:rsidRPr="007A1B66">
        <w:rPr>
          <w:b/>
          <w:strike/>
        </w:rPr>
        <w:t>R307-301-12.  Labeling of Pumps.</w:t>
      </w:r>
    </w:p>
    <w:p w14:paraId="14D5D18D" w14:textId="77777777" w:rsidR="00CA5612" w:rsidRPr="007A1B66" w:rsidRDefault="00CA5612" w:rsidP="00CA5612">
      <w:pPr>
        <w:tabs>
          <w:tab w:val="left" w:pos="-720"/>
        </w:tabs>
        <w:jc w:val="both"/>
        <w:rPr>
          <w:strike/>
        </w:rPr>
      </w:pPr>
      <w:r w:rsidRPr="007A1B66">
        <w:rPr>
          <w:strike/>
        </w:rPr>
        <w:tab/>
        <w:t>(1)  Any person selling or dispensing oxygenated gasoline pursuant to R307-301 is required to label the fuel dispensing system with one of the following notices.</w:t>
      </w:r>
    </w:p>
    <w:p w14:paraId="69D4D03B" w14:textId="77777777" w:rsidR="00CA5612" w:rsidRPr="007A1B66" w:rsidRDefault="00CA5612" w:rsidP="00CA5612">
      <w:pPr>
        <w:tabs>
          <w:tab w:val="left" w:pos="-720"/>
        </w:tabs>
        <w:jc w:val="both"/>
        <w:rPr>
          <w:strike/>
        </w:rPr>
      </w:pPr>
      <w:r w:rsidRPr="007A1B66">
        <w:rPr>
          <w:strike/>
        </w:rPr>
        <w:tab/>
        <w:t>(a)  "The gasoline dispensed from this pump is oxygenated and will reduce carbon monoxide pollution from motor vehicles.  This fuel contains up to (specify maximum percent by volume) (specific oxygenate or specific combination of oxygenates in concentrations of at least one percent)."</w:t>
      </w:r>
    </w:p>
    <w:p w14:paraId="2445689D" w14:textId="77777777" w:rsidR="00CA5612" w:rsidRPr="007A1B66" w:rsidRDefault="00CA5612" w:rsidP="00CA5612">
      <w:pPr>
        <w:tabs>
          <w:tab w:val="left" w:pos="-720"/>
        </w:tabs>
        <w:jc w:val="both"/>
        <w:rPr>
          <w:strike/>
        </w:rPr>
      </w:pPr>
      <w:r w:rsidRPr="007A1B66">
        <w:rPr>
          <w:strike/>
        </w:rPr>
        <w:tab/>
        <w:t xml:space="preserve">(b)  "The gasoline dispensed from this pump is oxygenated and will reduce carbon monoxide pollution from motor vehicles.  This fuel contains up to (specify maximum percent by volume) (specific oxygenate or combination of oxygenates present in </w:t>
      </w:r>
      <w:r w:rsidRPr="007A1B66">
        <w:rPr>
          <w:strike/>
        </w:rPr>
        <w:lastRenderedPageBreak/>
        <w:t>concentrations of at least one percent) from November 1 through February 29."</w:t>
      </w:r>
    </w:p>
    <w:p w14:paraId="15CB0835" w14:textId="77777777" w:rsidR="00CA5612" w:rsidRPr="007A1B66" w:rsidRDefault="00CA5612" w:rsidP="00CA5612">
      <w:pPr>
        <w:tabs>
          <w:tab w:val="left" w:pos="-720"/>
        </w:tabs>
        <w:jc w:val="both"/>
        <w:rPr>
          <w:strike/>
        </w:rPr>
      </w:pPr>
      <w:r w:rsidRPr="007A1B66">
        <w:rPr>
          <w:strike/>
        </w:rPr>
        <w:tab/>
        <w:t xml:space="preserve">(2)  The label letters shall be block letters of no less than 20-point type, at least </w:t>
      </w:r>
      <w:proofErr w:type="gramStart"/>
      <w:r w:rsidRPr="007A1B66">
        <w:rPr>
          <w:strike/>
        </w:rPr>
        <w:t>1/16 inch</w:t>
      </w:r>
      <w:proofErr w:type="gramEnd"/>
      <w:r w:rsidRPr="007A1B66">
        <w:rPr>
          <w:strike/>
        </w:rPr>
        <w:t xml:space="preserve"> stroke (width of type), and of a color that contrasts with the label background color.  The label letters that specify maximum percent oxygenate by volume and that disclose the specific oxygenate shall be at least 1/2 inch in height, </w:t>
      </w:r>
      <w:proofErr w:type="gramStart"/>
      <w:r w:rsidRPr="007A1B66">
        <w:rPr>
          <w:strike/>
        </w:rPr>
        <w:t>1/16 inch</w:t>
      </w:r>
      <w:proofErr w:type="gramEnd"/>
      <w:r w:rsidRPr="007A1B66">
        <w:rPr>
          <w:strike/>
        </w:rPr>
        <w:t xml:space="preserve"> stroke (width of type).</w:t>
      </w:r>
    </w:p>
    <w:p w14:paraId="2906A36F" w14:textId="77777777" w:rsidR="00CA5612" w:rsidRPr="007A1B66" w:rsidRDefault="00CA5612" w:rsidP="00CA5612">
      <w:pPr>
        <w:tabs>
          <w:tab w:val="left" w:pos="-720"/>
        </w:tabs>
        <w:jc w:val="both"/>
        <w:rPr>
          <w:strike/>
        </w:rPr>
      </w:pPr>
      <w:r w:rsidRPr="007A1B66">
        <w:rPr>
          <w:strike/>
        </w:rPr>
        <w:tab/>
        <w:t>(3)  The label must be affixed to the upper one-half of the vertical surface of the pump on each side with gallonage and dollar amount meters from which gasoline can be dispensed and must be clearly readable to the public.</w:t>
      </w:r>
    </w:p>
    <w:p w14:paraId="7EB8AC6B" w14:textId="77777777" w:rsidR="00CA5612" w:rsidRPr="007A1B66" w:rsidRDefault="00CA5612" w:rsidP="00CA5612">
      <w:pPr>
        <w:tabs>
          <w:tab w:val="left" w:pos="-720"/>
        </w:tabs>
        <w:jc w:val="both"/>
        <w:rPr>
          <w:strike/>
        </w:rPr>
      </w:pPr>
      <w:r w:rsidRPr="007A1B66">
        <w:rPr>
          <w:strike/>
        </w:rPr>
        <w:tab/>
        <w:t>(4)  The retailer or wholesale purchaser-consumer shall be responsible for compliance with R307-301-12.</w:t>
      </w:r>
    </w:p>
    <w:p w14:paraId="0DBB6F93" w14:textId="77777777" w:rsidR="00CA5612" w:rsidRPr="007A1B66" w:rsidRDefault="00CA5612" w:rsidP="00CA5612">
      <w:pPr>
        <w:tabs>
          <w:tab w:val="left" w:pos="-720"/>
        </w:tabs>
        <w:jc w:val="both"/>
        <w:rPr>
          <w:strike/>
        </w:rPr>
      </w:pPr>
    </w:p>
    <w:p w14:paraId="6AB400B0" w14:textId="77777777" w:rsidR="00CA5612" w:rsidRPr="007A1B66" w:rsidRDefault="00CA5612" w:rsidP="00CA5612">
      <w:pPr>
        <w:tabs>
          <w:tab w:val="left" w:pos="-720"/>
        </w:tabs>
        <w:jc w:val="both"/>
        <w:rPr>
          <w:strike/>
        </w:rPr>
      </w:pPr>
      <w:r w:rsidRPr="007A1B66">
        <w:rPr>
          <w:b/>
          <w:strike/>
        </w:rPr>
        <w:t>R307-301-13.  Inspections.</w:t>
      </w:r>
    </w:p>
    <w:p w14:paraId="168B592D" w14:textId="77777777" w:rsidR="00CA5612" w:rsidRPr="007A1B66" w:rsidRDefault="00CA5612" w:rsidP="00CA5612">
      <w:pPr>
        <w:tabs>
          <w:tab w:val="left" w:pos="-720"/>
        </w:tabs>
        <w:jc w:val="both"/>
        <w:rPr>
          <w:strike/>
        </w:rPr>
      </w:pPr>
      <w:r w:rsidRPr="007A1B66">
        <w:rPr>
          <w:strike/>
        </w:rPr>
        <w:tab/>
        <w:t>Inspections of registered parties, control area retailers, refineries, control area terminals, oxygenate blenders and control area wholesale purchaser-consumers may include the following:</w:t>
      </w:r>
    </w:p>
    <w:p w14:paraId="7AE8C2C6" w14:textId="77777777" w:rsidR="00CA5612" w:rsidRPr="007A1B66" w:rsidRDefault="00CA5612" w:rsidP="00CA5612">
      <w:pPr>
        <w:tabs>
          <w:tab w:val="left" w:pos="-720"/>
        </w:tabs>
        <w:jc w:val="both"/>
        <w:rPr>
          <w:strike/>
        </w:rPr>
      </w:pPr>
      <w:r w:rsidRPr="007A1B66">
        <w:rPr>
          <w:strike/>
        </w:rPr>
        <w:tab/>
        <w:t>(1)  physical sampling, testing, and calculation of oxygen content of the gasoline as specified in R307-301-4;</w:t>
      </w:r>
    </w:p>
    <w:p w14:paraId="4E85254F" w14:textId="77777777" w:rsidR="00CA5612" w:rsidRPr="007A1B66" w:rsidRDefault="00CA5612" w:rsidP="00CA5612">
      <w:pPr>
        <w:tabs>
          <w:tab w:val="left" w:pos="-720"/>
        </w:tabs>
        <w:jc w:val="both"/>
        <w:rPr>
          <w:strike/>
        </w:rPr>
      </w:pPr>
      <w:r w:rsidRPr="007A1B66">
        <w:rPr>
          <w:strike/>
        </w:rPr>
        <w:tab/>
        <w:t>(2)  review of documentation relating to the oxygenated gasoline program, including but not limited to records specified in R307-301-8; and</w:t>
      </w:r>
    </w:p>
    <w:p w14:paraId="64F51972" w14:textId="77777777" w:rsidR="00CA5612" w:rsidRPr="007A1B66" w:rsidRDefault="00CA5612" w:rsidP="00CA5612">
      <w:pPr>
        <w:tabs>
          <w:tab w:val="left" w:pos="-720"/>
        </w:tabs>
        <w:jc w:val="both"/>
        <w:rPr>
          <w:strike/>
        </w:rPr>
      </w:pPr>
      <w:r w:rsidRPr="007A1B66">
        <w:rPr>
          <w:strike/>
        </w:rPr>
        <w:tab/>
        <w:t>(3)  in the case of control area retailers and wholesale purchaser-consumers, verification that gasoline dispensing pumps are labeled in accordance with R307-301-12.</w:t>
      </w:r>
    </w:p>
    <w:p w14:paraId="29DE0AC6" w14:textId="77777777" w:rsidR="00CA5612" w:rsidRPr="007A1B66" w:rsidRDefault="00CA5612" w:rsidP="00CA5612">
      <w:pPr>
        <w:tabs>
          <w:tab w:val="left" w:pos="-720"/>
        </w:tabs>
        <w:jc w:val="both"/>
        <w:rPr>
          <w:strike/>
        </w:rPr>
      </w:pPr>
    </w:p>
    <w:p w14:paraId="46501809" w14:textId="77777777" w:rsidR="00CA5612" w:rsidRPr="007A1B66" w:rsidRDefault="00CA5612" w:rsidP="00CA5612">
      <w:pPr>
        <w:tabs>
          <w:tab w:val="left" w:pos="-720"/>
        </w:tabs>
        <w:jc w:val="both"/>
        <w:rPr>
          <w:strike/>
        </w:rPr>
      </w:pPr>
      <w:r w:rsidRPr="007A1B66">
        <w:rPr>
          <w:b/>
          <w:strike/>
        </w:rPr>
        <w:t>R307-301-14.  Public and Industry Education Program.</w:t>
      </w:r>
    </w:p>
    <w:p w14:paraId="09B6DD66" w14:textId="77777777" w:rsidR="00CA5612" w:rsidRPr="007A1B66" w:rsidRDefault="00CA5612" w:rsidP="00CA5612">
      <w:pPr>
        <w:tabs>
          <w:tab w:val="left" w:pos="-720"/>
        </w:tabs>
        <w:jc w:val="both"/>
        <w:rPr>
          <w:strike/>
        </w:rPr>
      </w:pPr>
      <w:r w:rsidRPr="007A1B66">
        <w:rPr>
          <w:strike/>
        </w:rPr>
        <w:tab/>
        <w:t>The director shall provide to the affected public, mechanics, and industry information regarding the benefits of the program and other issues related to oxygenated gasoline.</w:t>
      </w:r>
    </w:p>
    <w:p w14:paraId="47585A83" w14:textId="77777777" w:rsidR="00CA5612" w:rsidRPr="007A1B66" w:rsidRDefault="00CA5612" w:rsidP="00CA5612">
      <w:pPr>
        <w:tabs>
          <w:tab w:val="left" w:pos="-720"/>
        </w:tabs>
        <w:jc w:val="both"/>
        <w:rPr>
          <w:strike/>
        </w:rPr>
      </w:pPr>
    </w:p>
    <w:p w14:paraId="23951FDE" w14:textId="77777777" w:rsidR="00CA5612" w:rsidRPr="007A1B66" w:rsidRDefault="00CA5612" w:rsidP="00CA5612">
      <w:pPr>
        <w:tabs>
          <w:tab w:val="left" w:pos="-720"/>
        </w:tabs>
        <w:jc w:val="both"/>
        <w:rPr>
          <w:strike/>
        </w:rPr>
      </w:pPr>
      <w:r w:rsidRPr="007A1B66">
        <w:rPr>
          <w:b/>
          <w:strike/>
        </w:rPr>
        <w:t>KEY:  air pollution control, motor vehicles, gasoline, petroleum</w:t>
      </w:r>
    </w:p>
    <w:p w14:paraId="2AF45E0B" w14:textId="77777777" w:rsidR="00CA5612" w:rsidRPr="007A1B66" w:rsidRDefault="00CA5612" w:rsidP="00CA5612">
      <w:pPr>
        <w:tabs>
          <w:tab w:val="left" w:pos="-720"/>
        </w:tabs>
        <w:jc w:val="both"/>
        <w:rPr>
          <w:strike/>
        </w:rPr>
      </w:pPr>
      <w:r w:rsidRPr="007A1B66">
        <w:rPr>
          <w:b/>
          <w:strike/>
        </w:rPr>
        <w:t>Date of Enactment or Last Substantive Amendment:  May 18, 2004</w:t>
      </w:r>
    </w:p>
    <w:p w14:paraId="7BC89007" w14:textId="77777777" w:rsidR="00CA5612" w:rsidRPr="007A1B66" w:rsidRDefault="00CA5612" w:rsidP="00CA5612">
      <w:pPr>
        <w:tabs>
          <w:tab w:val="left" w:pos="-720"/>
        </w:tabs>
        <w:jc w:val="both"/>
        <w:rPr>
          <w:strike/>
        </w:rPr>
      </w:pPr>
      <w:r w:rsidRPr="007A1B66">
        <w:rPr>
          <w:b/>
          <w:strike/>
        </w:rPr>
        <w:t>Notice of Continuation:  January 27, 2017</w:t>
      </w:r>
    </w:p>
    <w:p w14:paraId="584A5A0C" w14:textId="77777777" w:rsidR="00CA5612" w:rsidRPr="007A1B66" w:rsidRDefault="00CA5612" w:rsidP="00CA5612">
      <w:pPr>
        <w:tabs>
          <w:tab w:val="left" w:pos="-720"/>
        </w:tabs>
        <w:jc w:val="both"/>
        <w:rPr>
          <w:strike/>
        </w:rPr>
      </w:pPr>
      <w:r w:rsidRPr="007A1B66">
        <w:rPr>
          <w:b/>
          <w:strike/>
        </w:rPr>
        <w:t>Authorizing, and Implemented or Interpreted Law:  19-2-101; 19-2-104</w:t>
      </w:r>
    </w:p>
    <w:p w14:paraId="1CC5BCF9" w14:textId="77777777" w:rsidR="00CA5612" w:rsidRPr="005A7398" w:rsidRDefault="00CA5612" w:rsidP="00DC0B97">
      <w:pPr>
        <w:widowControl/>
        <w:autoSpaceDE/>
        <w:autoSpaceDN/>
        <w:adjustRightInd/>
        <w:rPr>
          <w:rFonts w:ascii="Arial" w:hAnsi="Arial" w:cs="Arial"/>
          <w:color w:val="000000" w:themeColor="text1"/>
          <w:szCs w:val="20"/>
        </w:rPr>
      </w:pPr>
    </w:p>
    <w:sectPr w:rsidR="00CA5612" w:rsidRPr="005A7398"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2064" w14:textId="77777777" w:rsidR="00F65769" w:rsidRDefault="00F65769" w:rsidP="00C17968">
      <w:r>
        <w:separator/>
      </w:r>
    </w:p>
  </w:endnote>
  <w:endnote w:type="continuationSeparator" w:id="0">
    <w:p w14:paraId="330C18F6" w14:textId="77777777" w:rsidR="00F65769" w:rsidRDefault="00F65769"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2733" w14:textId="77777777" w:rsidR="00F65769" w:rsidRDefault="00F65769" w:rsidP="00C17968">
      <w:r>
        <w:separator/>
      </w:r>
    </w:p>
  </w:footnote>
  <w:footnote w:type="continuationSeparator" w:id="0">
    <w:p w14:paraId="0FF7F076" w14:textId="77777777" w:rsidR="00F65769" w:rsidRDefault="00F65769" w:rsidP="00C17968">
      <w:r>
        <w:continuationSeparator/>
      </w:r>
    </w:p>
  </w:footnote>
  <w:footnote w:id="1">
    <w:p w14:paraId="5CAE74FF" w14:textId="77777777" w:rsidR="00F65769" w:rsidRDefault="00F65769" w:rsidP="00547716">
      <w:pPr>
        <w:pStyle w:val="FootnoteText"/>
      </w:pPr>
      <w:r>
        <w:rPr>
          <w:rStyle w:val="FootnoteReference"/>
        </w:rPr>
        <w:footnoteRef/>
      </w:r>
      <w:r>
        <w:t xml:space="preserve"> </w:t>
      </w:r>
      <w:r w:rsidRPr="00167DE3">
        <w:t>https://afdc.energy.gov/fuels/ethanol_blends.html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83289"/>
    <w:rsid w:val="000A63C1"/>
    <w:rsid w:val="000B0C8F"/>
    <w:rsid w:val="000C3C78"/>
    <w:rsid w:val="000E7CDD"/>
    <w:rsid w:val="00101FCF"/>
    <w:rsid w:val="00102BB0"/>
    <w:rsid w:val="00136C69"/>
    <w:rsid w:val="00151B36"/>
    <w:rsid w:val="001769DF"/>
    <w:rsid w:val="0018100B"/>
    <w:rsid w:val="001B1B40"/>
    <w:rsid w:val="001C3DAB"/>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E6F38"/>
    <w:rsid w:val="003217E6"/>
    <w:rsid w:val="00342459"/>
    <w:rsid w:val="00380D52"/>
    <w:rsid w:val="003B6116"/>
    <w:rsid w:val="003D601B"/>
    <w:rsid w:val="003E6785"/>
    <w:rsid w:val="00414E0D"/>
    <w:rsid w:val="00430473"/>
    <w:rsid w:val="004423A3"/>
    <w:rsid w:val="00462360"/>
    <w:rsid w:val="00465A08"/>
    <w:rsid w:val="004803F6"/>
    <w:rsid w:val="004A031A"/>
    <w:rsid w:val="004C20EA"/>
    <w:rsid w:val="004C4015"/>
    <w:rsid w:val="00547716"/>
    <w:rsid w:val="00550F3B"/>
    <w:rsid w:val="00551480"/>
    <w:rsid w:val="00563DBC"/>
    <w:rsid w:val="0057263E"/>
    <w:rsid w:val="005732E8"/>
    <w:rsid w:val="00574132"/>
    <w:rsid w:val="00583378"/>
    <w:rsid w:val="005A463F"/>
    <w:rsid w:val="005A7398"/>
    <w:rsid w:val="005C024A"/>
    <w:rsid w:val="005D6A7E"/>
    <w:rsid w:val="005F7305"/>
    <w:rsid w:val="00617D1E"/>
    <w:rsid w:val="006431BE"/>
    <w:rsid w:val="00646433"/>
    <w:rsid w:val="00646E1C"/>
    <w:rsid w:val="006661C3"/>
    <w:rsid w:val="006667C3"/>
    <w:rsid w:val="00682427"/>
    <w:rsid w:val="006936DF"/>
    <w:rsid w:val="006A3F24"/>
    <w:rsid w:val="006A7D14"/>
    <w:rsid w:val="006B70AF"/>
    <w:rsid w:val="006D167F"/>
    <w:rsid w:val="00715301"/>
    <w:rsid w:val="00716F7B"/>
    <w:rsid w:val="00723BDF"/>
    <w:rsid w:val="00762BDA"/>
    <w:rsid w:val="00772653"/>
    <w:rsid w:val="00796BA5"/>
    <w:rsid w:val="007A1FEA"/>
    <w:rsid w:val="007B6C82"/>
    <w:rsid w:val="008315F8"/>
    <w:rsid w:val="00835660"/>
    <w:rsid w:val="00840B24"/>
    <w:rsid w:val="008637F2"/>
    <w:rsid w:val="008705CB"/>
    <w:rsid w:val="008B0B8A"/>
    <w:rsid w:val="008E7D9B"/>
    <w:rsid w:val="009174AF"/>
    <w:rsid w:val="009279FD"/>
    <w:rsid w:val="009510CD"/>
    <w:rsid w:val="009B5790"/>
    <w:rsid w:val="009C0017"/>
    <w:rsid w:val="009C2A6A"/>
    <w:rsid w:val="00A2684B"/>
    <w:rsid w:val="00A41D37"/>
    <w:rsid w:val="00A52209"/>
    <w:rsid w:val="00A93EFE"/>
    <w:rsid w:val="00AA649A"/>
    <w:rsid w:val="00AA6586"/>
    <w:rsid w:val="00AB5714"/>
    <w:rsid w:val="00AC60A3"/>
    <w:rsid w:val="00AD5BF8"/>
    <w:rsid w:val="00AF1519"/>
    <w:rsid w:val="00B0160D"/>
    <w:rsid w:val="00B1348C"/>
    <w:rsid w:val="00B1423E"/>
    <w:rsid w:val="00B41350"/>
    <w:rsid w:val="00B52EC4"/>
    <w:rsid w:val="00B606F6"/>
    <w:rsid w:val="00B61024"/>
    <w:rsid w:val="00B62A8D"/>
    <w:rsid w:val="00BC5E52"/>
    <w:rsid w:val="00C07C48"/>
    <w:rsid w:val="00C17425"/>
    <w:rsid w:val="00C17968"/>
    <w:rsid w:val="00C17B64"/>
    <w:rsid w:val="00C4256B"/>
    <w:rsid w:val="00C475B6"/>
    <w:rsid w:val="00C7075A"/>
    <w:rsid w:val="00C864C3"/>
    <w:rsid w:val="00CA2A17"/>
    <w:rsid w:val="00CA4226"/>
    <w:rsid w:val="00CA5612"/>
    <w:rsid w:val="00CC1DE2"/>
    <w:rsid w:val="00CC2F8D"/>
    <w:rsid w:val="00CF36B3"/>
    <w:rsid w:val="00D01884"/>
    <w:rsid w:val="00D06A99"/>
    <w:rsid w:val="00D222F2"/>
    <w:rsid w:val="00D26D4A"/>
    <w:rsid w:val="00D41554"/>
    <w:rsid w:val="00D41ABA"/>
    <w:rsid w:val="00D7747A"/>
    <w:rsid w:val="00D97919"/>
    <w:rsid w:val="00DA783E"/>
    <w:rsid w:val="00DC0B97"/>
    <w:rsid w:val="00DC51B5"/>
    <w:rsid w:val="00DE4AAB"/>
    <w:rsid w:val="00E06657"/>
    <w:rsid w:val="00E33275"/>
    <w:rsid w:val="00E52C8D"/>
    <w:rsid w:val="00E536BE"/>
    <w:rsid w:val="00E71631"/>
    <w:rsid w:val="00E945AC"/>
    <w:rsid w:val="00EB3D35"/>
    <w:rsid w:val="00EC01D2"/>
    <w:rsid w:val="00EE6D3C"/>
    <w:rsid w:val="00F1268F"/>
    <w:rsid w:val="00F136AB"/>
    <w:rsid w:val="00F40EA6"/>
    <w:rsid w:val="00F42C14"/>
    <w:rsid w:val="00F65769"/>
    <w:rsid w:val="00F700BD"/>
    <w:rsid w:val="00F72AC8"/>
    <w:rsid w:val="00F91CB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paragraph" w:styleId="FootnoteText">
    <w:name w:val="footnote text"/>
    <w:basedOn w:val="Normal"/>
    <w:link w:val="FootnoteTextChar"/>
    <w:rsid w:val="00CA5612"/>
    <w:pPr>
      <w:widowControl/>
      <w:autoSpaceDE/>
      <w:autoSpaceDN/>
      <w:adjustRightInd/>
    </w:pPr>
    <w:rPr>
      <w:szCs w:val="20"/>
    </w:rPr>
  </w:style>
  <w:style w:type="character" w:customStyle="1" w:styleId="FootnoteTextChar">
    <w:name w:val="Footnote Text Char"/>
    <w:basedOn w:val="DefaultParagraphFont"/>
    <w:link w:val="FootnoteText"/>
    <w:rsid w:val="00CA5612"/>
    <w:rPr>
      <w:rFonts w:ascii="Times New Roman" w:eastAsia="Times New Roman" w:hAnsi="Times New Roman" w:cs="Times New Roman"/>
      <w:sz w:val="20"/>
      <w:szCs w:val="20"/>
    </w:rPr>
  </w:style>
  <w:style w:type="character" w:styleId="FootnoteReference">
    <w:name w:val="footnote reference"/>
    <w:basedOn w:val="DefaultParagraphFont"/>
    <w:rsid w:val="00CA5612"/>
    <w:rPr>
      <w:vertAlign w:val="superscript"/>
    </w:rPr>
  </w:style>
  <w:style w:type="character" w:styleId="UnresolvedMention">
    <w:name w:val="Unresolved Mention"/>
    <w:basedOn w:val="DefaultParagraphFont"/>
    <w:uiPriority w:val="99"/>
    <w:semiHidden/>
    <w:unhideWhenUsed/>
    <w:rsid w:val="00AA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zvn-ketw-f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84A3-6513-410C-BAD4-CDFCCADC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7537</Words>
  <Characters>42964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5</cp:revision>
  <cp:lastPrinted>2019-10-24T15:39:00Z</cp:lastPrinted>
  <dcterms:created xsi:type="dcterms:W3CDTF">2021-12-06T16:33:00Z</dcterms:created>
  <dcterms:modified xsi:type="dcterms:W3CDTF">2021-12-06T17:09:00Z</dcterms:modified>
</cp:coreProperties>
</file>